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3"/>
        <w:tblW w:w="9500" w:type="dxa"/>
        <w:tblInd w:w="0" w:type="dxa"/>
        <w:tblLayout w:type="fixed"/>
        <w:tblCellMar>
          <w:top w:w="0" w:type="dxa"/>
          <w:left w:w="108" w:type="dxa"/>
          <w:bottom w:w="0" w:type="dxa"/>
          <w:right w:w="108" w:type="dxa"/>
        </w:tblCellMar>
      </w:tblPr>
      <w:tblGrid>
        <w:gridCol w:w="4074"/>
        <w:gridCol w:w="5426"/>
      </w:tblGrid>
      <w:tr>
        <w:tblPrEx>
          <w:tblCellMar>
            <w:top w:w="0" w:type="dxa"/>
            <w:left w:w="108" w:type="dxa"/>
            <w:bottom w:w="0" w:type="dxa"/>
            <w:right w:w="108" w:type="dxa"/>
          </w:tblCellMar>
        </w:tblPrEx>
        <w:trPr>
          <w:cantSplit/>
          <w:trHeight w:val="1152" w:hRule="atLeast"/>
        </w:trPr>
        <w:tc>
          <w:tcPr>
            <w:tcW w:w="4074" w:type="dxa"/>
          </w:tcPr>
          <w:p>
            <w:pPr>
              <w:jc w:val="center"/>
              <w:rPr>
                <w:b/>
                <w:color w:val="auto"/>
                <w:highlight w:val="none"/>
                <w:u w:val="single"/>
              </w:rPr>
            </w:pPr>
            <w:r>
              <w:rPr>
                <w:b/>
                <w:color w:val="auto"/>
                <w:highlight w:val="none"/>
              </w:rPr>
              <w:t xml:space="preserve">CÔNG TY CỔ PHẦN GIỐNG LÂM </w:t>
            </w:r>
            <w:r>
              <w:rPr>
                <w:b/>
                <w:color w:val="auto"/>
                <w:highlight w:val="none"/>
                <w:u w:val="single"/>
              </w:rPr>
              <w:t>NGHIỆP VÙNG NAM BỘ</w:t>
            </w:r>
          </w:p>
          <w:p>
            <w:pPr>
              <w:jc w:val="center"/>
              <w:rPr>
                <w:b/>
                <w:color w:val="auto"/>
                <w:highlight w:val="none"/>
                <w:u w:val="single"/>
              </w:rPr>
            </w:pPr>
            <w:r>
              <w:rPr>
                <w:bCs/>
                <w:color w:val="auto"/>
                <w:highlight w:val="none"/>
              </w:rPr>
              <w:t>Số :………/BC-CT</w:t>
            </w:r>
          </w:p>
        </w:tc>
        <w:tc>
          <w:tcPr>
            <w:tcW w:w="5426" w:type="dxa"/>
          </w:tcPr>
          <w:p>
            <w:pPr>
              <w:spacing w:after="0" w:line="240" w:lineRule="auto"/>
              <w:jc w:val="center"/>
              <w:rPr>
                <w:b/>
                <w:color w:val="auto"/>
                <w:highlight w:val="none"/>
              </w:rPr>
            </w:pPr>
            <w:r>
              <w:rPr>
                <w:b/>
                <w:color w:val="auto"/>
                <w:highlight w:val="none"/>
              </w:rPr>
              <w:t>CỘNG HÒA XÃ HỘI CHỦ NGHĨA VIỆT NAM</w:t>
            </w:r>
          </w:p>
          <w:p>
            <w:pPr>
              <w:spacing w:after="0" w:line="240" w:lineRule="auto"/>
              <w:ind w:hanging="180"/>
              <w:jc w:val="center"/>
              <w:rPr>
                <w:b/>
                <w:color w:val="auto"/>
                <w:highlight w:val="none"/>
                <w:u w:val="single"/>
              </w:rPr>
            </w:pPr>
            <w:r>
              <w:rPr>
                <w:b/>
                <w:color w:val="auto"/>
                <w:highlight w:val="none"/>
                <w:u w:val="single"/>
              </w:rPr>
              <w:t>Độc lập – Tự do – Hạnh phúc</w:t>
            </w:r>
          </w:p>
          <w:p>
            <w:pPr>
              <w:spacing w:after="0" w:line="240" w:lineRule="auto"/>
              <w:ind w:hanging="180"/>
              <w:jc w:val="center"/>
              <w:rPr>
                <w:b/>
                <w:color w:val="auto"/>
                <w:highlight w:val="none"/>
                <w:u w:val="single"/>
              </w:rPr>
            </w:pPr>
          </w:p>
          <w:p>
            <w:pPr>
              <w:jc w:val="right"/>
              <w:rPr>
                <w:b/>
                <w:color w:val="auto"/>
                <w:highlight w:val="none"/>
                <w:u w:val="single"/>
              </w:rPr>
            </w:pPr>
            <w:r>
              <w:rPr>
                <w:i/>
                <w:color w:val="auto"/>
                <w:highlight w:val="none"/>
              </w:rPr>
              <w:t xml:space="preserve">Tp Hồ Chí Minh, ngày </w:t>
            </w:r>
            <w:r>
              <w:rPr>
                <w:rFonts w:hint="default"/>
                <w:i/>
                <w:color w:val="auto"/>
                <w:highlight w:val="none"/>
                <w:lang w:val="en-US"/>
              </w:rPr>
              <w:t>...</w:t>
            </w:r>
            <w:r>
              <w:rPr>
                <w:i/>
                <w:color w:val="auto"/>
                <w:highlight w:val="none"/>
              </w:rPr>
              <w:t xml:space="preserve"> tháng </w:t>
            </w:r>
            <w:r>
              <w:rPr>
                <w:rFonts w:hint="default"/>
                <w:i/>
                <w:color w:val="auto"/>
                <w:highlight w:val="none"/>
                <w:lang w:val="en-US"/>
              </w:rPr>
              <w:t>...</w:t>
            </w:r>
            <w:r>
              <w:rPr>
                <w:i/>
                <w:color w:val="auto"/>
                <w:highlight w:val="none"/>
              </w:rPr>
              <w:t xml:space="preserve"> năm 2021</w:t>
            </w:r>
          </w:p>
        </w:tc>
      </w:tr>
    </w:tbl>
    <w:p>
      <w:pPr>
        <w:tabs>
          <w:tab w:val="center" w:pos="1985"/>
          <w:tab w:val="center" w:pos="7371"/>
        </w:tabs>
        <w:spacing w:after="0" w:line="240" w:lineRule="auto"/>
        <w:jc w:val="center"/>
        <w:rPr>
          <w:b/>
          <w:color w:val="auto"/>
          <w:sz w:val="28"/>
          <w:szCs w:val="28"/>
          <w:highlight w:val="none"/>
          <w:lang w:val="fr-FR"/>
        </w:rPr>
      </w:pPr>
      <w:r>
        <w:rPr>
          <w:b/>
          <w:color w:val="auto"/>
          <w:sz w:val="28"/>
          <w:szCs w:val="28"/>
          <w:highlight w:val="none"/>
          <w:lang w:val="fr-FR"/>
        </w:rPr>
        <w:t>BÁO CÁO</w:t>
      </w:r>
    </w:p>
    <w:p>
      <w:pPr>
        <w:tabs>
          <w:tab w:val="center" w:pos="1985"/>
          <w:tab w:val="center" w:pos="7371"/>
        </w:tabs>
        <w:spacing w:after="0" w:line="240" w:lineRule="auto"/>
        <w:jc w:val="center"/>
        <w:rPr>
          <w:b/>
          <w:color w:val="auto"/>
          <w:sz w:val="26"/>
          <w:szCs w:val="26"/>
          <w:highlight w:val="none"/>
        </w:rPr>
      </w:pPr>
      <w:r>
        <w:rPr>
          <w:b/>
          <w:color w:val="auto"/>
          <w:sz w:val="26"/>
          <w:szCs w:val="26"/>
          <w:highlight w:val="none"/>
          <w:lang w:val="fr-FR"/>
        </w:rPr>
        <w:t>TỔNG KẾT</w:t>
      </w:r>
      <w:r>
        <w:rPr>
          <w:b/>
          <w:color w:val="auto"/>
          <w:sz w:val="26"/>
          <w:szCs w:val="26"/>
          <w:highlight w:val="none"/>
        </w:rPr>
        <w:t xml:space="preserve"> </w:t>
      </w:r>
      <w:r>
        <w:rPr>
          <w:b/>
          <w:color w:val="auto"/>
          <w:sz w:val="26"/>
          <w:szCs w:val="26"/>
          <w:highlight w:val="none"/>
          <w:lang w:val="fr-FR"/>
        </w:rPr>
        <w:t>TH</w:t>
      </w:r>
      <w:r>
        <w:rPr>
          <w:b/>
          <w:color w:val="auto"/>
          <w:sz w:val="26"/>
          <w:szCs w:val="26"/>
          <w:highlight w:val="none"/>
          <w:lang w:val="vi-VN"/>
        </w:rPr>
        <w:t>ỰC HIỆN KẾ HOẠCH</w:t>
      </w:r>
      <w:r>
        <w:rPr>
          <w:b/>
          <w:color w:val="auto"/>
          <w:sz w:val="26"/>
          <w:szCs w:val="26"/>
          <w:highlight w:val="none"/>
          <w:lang w:val="fr-FR"/>
        </w:rPr>
        <w:t xml:space="preserve"> S</w:t>
      </w:r>
      <w:r>
        <w:rPr>
          <w:b/>
          <w:color w:val="auto"/>
          <w:sz w:val="26"/>
          <w:szCs w:val="26"/>
          <w:highlight w:val="none"/>
        </w:rPr>
        <w:t>XKD</w:t>
      </w:r>
      <w:r>
        <w:rPr>
          <w:b/>
          <w:color w:val="auto"/>
          <w:sz w:val="26"/>
          <w:szCs w:val="26"/>
          <w:highlight w:val="none"/>
          <w:lang w:val="fr-FR"/>
        </w:rPr>
        <w:t xml:space="preserve"> NĂM 20</w:t>
      </w:r>
      <w:r>
        <w:rPr>
          <w:b/>
          <w:color w:val="auto"/>
          <w:sz w:val="26"/>
          <w:szCs w:val="26"/>
          <w:highlight w:val="none"/>
        </w:rPr>
        <w:t xml:space="preserve">20 </w:t>
      </w:r>
      <w:r>
        <w:rPr>
          <w:b/>
          <w:color w:val="auto"/>
          <w:sz w:val="26"/>
          <w:szCs w:val="26"/>
          <w:highlight w:val="none"/>
          <w:lang w:val="fr-FR"/>
        </w:rPr>
        <w:t xml:space="preserve">VÀ PHƯƠNG HƯỚNG, </w:t>
      </w:r>
      <w:r>
        <w:rPr>
          <w:b/>
          <w:color w:val="auto"/>
          <w:sz w:val="26"/>
          <w:szCs w:val="26"/>
          <w:highlight w:val="none"/>
        </w:rPr>
        <w:t xml:space="preserve">NHIỆM VỤ, </w:t>
      </w:r>
      <w:r>
        <w:rPr>
          <w:b/>
          <w:color w:val="auto"/>
          <w:sz w:val="26"/>
          <w:szCs w:val="26"/>
          <w:highlight w:val="none"/>
          <w:lang w:val="fr-FR"/>
        </w:rPr>
        <w:t>BIỆ</w:t>
      </w:r>
      <w:r>
        <w:rPr>
          <w:b/>
          <w:color w:val="auto"/>
          <w:sz w:val="26"/>
          <w:szCs w:val="26"/>
          <w:highlight w:val="none"/>
        </w:rPr>
        <w:t>N PHÁP</w:t>
      </w:r>
      <w:r>
        <w:rPr>
          <w:b/>
          <w:color w:val="auto"/>
          <w:sz w:val="26"/>
          <w:szCs w:val="26"/>
          <w:highlight w:val="none"/>
          <w:lang w:val="fr-FR"/>
        </w:rPr>
        <w:t xml:space="preserve"> THỰC HIỆN K</w:t>
      </w:r>
      <w:r>
        <w:rPr>
          <w:b/>
          <w:color w:val="auto"/>
          <w:sz w:val="26"/>
          <w:szCs w:val="26"/>
          <w:highlight w:val="none"/>
        </w:rPr>
        <w:t>Ế HOẠCH SXKD NĂM 2021</w:t>
      </w:r>
    </w:p>
    <w:p>
      <w:pPr>
        <w:tabs>
          <w:tab w:val="center" w:pos="1985"/>
          <w:tab w:val="center" w:pos="7371"/>
        </w:tabs>
        <w:spacing w:after="0" w:line="240" w:lineRule="auto"/>
        <w:jc w:val="center"/>
        <w:rPr>
          <w:b/>
          <w:color w:val="auto"/>
          <w:sz w:val="10"/>
          <w:szCs w:val="10"/>
          <w:highlight w:val="none"/>
          <w:u w:val="single"/>
        </w:rPr>
      </w:pPr>
    </w:p>
    <w:p>
      <w:pPr>
        <w:tabs>
          <w:tab w:val="center" w:pos="1985"/>
          <w:tab w:val="center" w:pos="7371"/>
        </w:tabs>
        <w:spacing w:after="0" w:line="240" w:lineRule="auto"/>
        <w:jc w:val="center"/>
        <w:rPr>
          <w:b/>
          <w:color w:val="auto"/>
          <w:sz w:val="26"/>
          <w:szCs w:val="26"/>
          <w:highlight w:val="none"/>
          <w:u w:val="single"/>
        </w:rPr>
      </w:pPr>
      <w:r>
        <w:rPr>
          <w:b/>
          <w:color w:val="auto"/>
          <w:sz w:val="26"/>
          <w:szCs w:val="26"/>
          <w:highlight w:val="none"/>
          <w:u w:val="single"/>
        </w:rPr>
        <w:t>PHẦN THỨ NHẤT</w:t>
      </w:r>
    </w:p>
    <w:p>
      <w:pPr>
        <w:tabs>
          <w:tab w:val="center" w:pos="1985"/>
          <w:tab w:val="center" w:pos="7371"/>
        </w:tabs>
        <w:spacing w:after="0" w:line="240" w:lineRule="auto"/>
        <w:jc w:val="center"/>
        <w:rPr>
          <w:b/>
          <w:color w:val="auto"/>
          <w:sz w:val="10"/>
          <w:szCs w:val="10"/>
          <w:highlight w:val="none"/>
        </w:rPr>
      </w:pPr>
    </w:p>
    <w:p>
      <w:pPr>
        <w:tabs>
          <w:tab w:val="center" w:pos="1985"/>
          <w:tab w:val="center" w:pos="7371"/>
        </w:tabs>
        <w:jc w:val="center"/>
        <w:rPr>
          <w:b/>
          <w:color w:val="auto"/>
          <w:sz w:val="26"/>
          <w:szCs w:val="26"/>
          <w:highlight w:val="none"/>
        </w:rPr>
      </w:pPr>
      <w:r>
        <w:rPr>
          <w:b/>
          <w:color w:val="auto"/>
          <w:sz w:val="26"/>
          <w:szCs w:val="26"/>
          <w:highlight w:val="none"/>
        </w:rPr>
        <w:t>TÌNH HÌNH THỰC HIỆN KẾ HOẠCH SXKD NĂM 2020</w:t>
      </w:r>
    </w:p>
    <w:p>
      <w:pPr>
        <w:spacing w:after="0" w:line="240" w:lineRule="auto"/>
        <w:ind w:firstLine="479" w:firstLineChars="184"/>
        <w:jc w:val="both"/>
        <w:rPr>
          <w:b/>
          <w:color w:val="auto"/>
          <w:sz w:val="26"/>
          <w:szCs w:val="26"/>
          <w:highlight w:val="none"/>
        </w:rPr>
      </w:pPr>
      <w:r>
        <w:rPr>
          <w:b/>
          <w:color w:val="auto"/>
          <w:sz w:val="26"/>
          <w:szCs w:val="26"/>
          <w:highlight w:val="none"/>
        </w:rPr>
        <w:t>I. ĐẶC ĐIỂM VÀ TÌNH HÌNH CHUNG :</w:t>
      </w:r>
    </w:p>
    <w:p>
      <w:pPr>
        <w:spacing w:after="0" w:line="240" w:lineRule="auto"/>
        <w:ind w:firstLine="479" w:firstLineChars="184"/>
        <w:jc w:val="both"/>
        <w:rPr>
          <w:b/>
          <w:bCs/>
          <w:color w:val="auto"/>
          <w:sz w:val="26"/>
          <w:szCs w:val="26"/>
          <w:highlight w:val="none"/>
        </w:rPr>
      </w:pPr>
      <w:r>
        <w:rPr>
          <w:b/>
          <w:bCs/>
          <w:color w:val="auto"/>
          <w:sz w:val="26"/>
          <w:szCs w:val="26"/>
          <w:highlight w:val="none"/>
        </w:rPr>
        <w:t>1. Cơ cấu tổ chức Công ty:</w:t>
      </w:r>
    </w:p>
    <w:p>
      <w:pPr>
        <w:spacing w:after="0" w:line="240" w:lineRule="auto"/>
        <w:ind w:firstLine="480"/>
        <w:jc w:val="both"/>
        <w:rPr>
          <w:bCs/>
          <w:color w:val="auto"/>
          <w:sz w:val="26"/>
          <w:szCs w:val="28"/>
          <w:highlight w:val="none"/>
          <w:lang w:eastAsia="zh-CN" w:bidi="ar"/>
        </w:rPr>
      </w:pPr>
      <w:r>
        <w:rPr>
          <w:bCs/>
          <w:color w:val="auto"/>
          <w:sz w:val="26"/>
          <w:szCs w:val="28"/>
          <w:highlight w:val="none"/>
          <w:lang w:eastAsia="zh-CN" w:bidi="ar"/>
        </w:rPr>
        <w:t>Cơ cấu tổ chức quản lý, lãnh đạo và sản xuất kinh doanh của Công ty bao gồm: Lãnh đạo Công ty, các phòng nghiệp vụ, các Trạm trực thuộc.</w:t>
      </w:r>
    </w:p>
    <w:p>
      <w:pPr>
        <w:spacing w:after="0" w:line="240" w:lineRule="auto"/>
        <w:ind w:firstLine="480"/>
        <w:jc w:val="both"/>
        <w:rPr>
          <w:color w:val="auto"/>
          <w:sz w:val="26"/>
          <w:szCs w:val="28"/>
          <w:highlight w:val="none"/>
          <w:lang w:eastAsia="zh-CN" w:bidi="ar"/>
        </w:rPr>
      </w:pPr>
      <w:r>
        <w:rPr>
          <w:bCs/>
          <w:color w:val="auto"/>
          <w:sz w:val="26"/>
          <w:szCs w:val="28"/>
          <w:highlight w:val="none"/>
          <w:lang w:eastAsia="zh-CN" w:bidi="ar"/>
        </w:rPr>
        <w:t>- Lãnh đạo Công ty gồm:</w:t>
      </w:r>
      <w:r>
        <w:rPr>
          <w:color w:val="auto"/>
          <w:sz w:val="26"/>
          <w:szCs w:val="28"/>
          <w:highlight w:val="none"/>
          <w:lang w:eastAsia="zh-CN" w:bidi="ar"/>
        </w:rPr>
        <w:t xml:space="preserve"> Đại hội đồng cổ đông, Hội đồng quản trị, Ban kiểm soát, Ban Giám đốc.</w:t>
      </w:r>
    </w:p>
    <w:p>
      <w:pPr>
        <w:spacing w:after="0" w:line="240" w:lineRule="auto"/>
        <w:ind w:firstLine="480"/>
        <w:jc w:val="both"/>
        <w:rPr>
          <w:color w:val="auto"/>
          <w:sz w:val="26"/>
          <w:szCs w:val="28"/>
          <w:highlight w:val="none"/>
          <w:lang w:eastAsia="zh-CN" w:bidi="ar"/>
        </w:rPr>
      </w:pPr>
      <w:r>
        <w:rPr>
          <w:color w:val="auto"/>
          <w:sz w:val="26"/>
          <w:szCs w:val="28"/>
          <w:highlight w:val="none"/>
          <w:lang w:eastAsia="zh-CN" w:bidi="ar"/>
        </w:rPr>
        <w:t>- Các phòng nghiệp vụ gồm 03 phòng: Phòng Tài chính kế toán, Phòng Tổng hợp, Phòng nghiên cứu nuôi cấy mô.</w:t>
      </w:r>
    </w:p>
    <w:p>
      <w:pPr>
        <w:spacing w:after="0" w:line="240" w:lineRule="auto"/>
        <w:ind w:firstLine="480"/>
        <w:jc w:val="both"/>
        <w:rPr>
          <w:bCs/>
          <w:color w:val="auto"/>
          <w:sz w:val="26"/>
          <w:szCs w:val="28"/>
          <w:highlight w:val="none"/>
          <w:lang w:eastAsia="zh-CN" w:bidi="ar"/>
        </w:rPr>
      </w:pPr>
      <w:r>
        <w:rPr>
          <w:color w:val="auto"/>
          <w:sz w:val="26"/>
          <w:szCs w:val="28"/>
          <w:highlight w:val="none"/>
          <w:lang w:eastAsia="zh-CN" w:bidi="ar"/>
        </w:rPr>
        <w:t>- Các Trạm thực thuộc gồm 5 Trạm: Trạm thực nghiệm mô hom và vườn ươm Long Thành, Trạm giống lâm nghiệp Bình Sơn, Trạm giống lâm nghiệp La Ngà, Trạm giống lâm nghiệp Long An, Trạm giống lâm nghiệp Sông Bé.</w:t>
      </w:r>
    </w:p>
    <w:p>
      <w:pPr>
        <w:numPr>
          <w:ilvl w:val="0"/>
          <w:numId w:val="1"/>
        </w:numPr>
        <w:spacing w:after="0" w:line="240" w:lineRule="auto"/>
        <w:ind w:firstLine="479" w:firstLineChars="184"/>
        <w:jc w:val="both"/>
        <w:rPr>
          <w:b/>
          <w:bCs/>
          <w:color w:val="auto"/>
          <w:sz w:val="26"/>
          <w:szCs w:val="26"/>
          <w:highlight w:val="none"/>
        </w:rPr>
      </w:pPr>
      <w:r>
        <w:rPr>
          <w:b/>
          <w:bCs/>
          <w:color w:val="auto"/>
          <w:sz w:val="26"/>
          <w:szCs w:val="26"/>
          <w:highlight w:val="none"/>
        </w:rPr>
        <w:t xml:space="preserve">Thuận lợi, khó khăn: </w:t>
      </w:r>
    </w:p>
    <w:p>
      <w:pPr>
        <w:spacing w:after="0" w:line="240" w:lineRule="auto"/>
        <w:ind w:firstLine="478" w:firstLineChars="184"/>
        <w:jc w:val="both"/>
        <w:rPr>
          <w:color w:val="auto"/>
          <w:sz w:val="26"/>
          <w:szCs w:val="26"/>
          <w:highlight w:val="none"/>
        </w:rPr>
      </w:pPr>
      <w:r>
        <w:rPr>
          <w:color w:val="auto"/>
          <w:sz w:val="26"/>
          <w:szCs w:val="26"/>
          <w:highlight w:val="none"/>
        </w:rPr>
        <w:t>Bước vào thực hiện kế hoạch SXKD năm 2020, Công ty có nhiều thuận lợi cơ bản nhưng cũng gặp không ít khó khăn thách thức, đó là :</w:t>
      </w:r>
    </w:p>
    <w:p>
      <w:pPr>
        <w:spacing w:after="0" w:line="240" w:lineRule="auto"/>
        <w:ind w:firstLine="479" w:firstLineChars="184"/>
        <w:jc w:val="both"/>
        <w:rPr>
          <w:b/>
          <w:i/>
          <w:iCs/>
          <w:color w:val="auto"/>
          <w:sz w:val="26"/>
          <w:szCs w:val="26"/>
          <w:highlight w:val="none"/>
        </w:rPr>
      </w:pPr>
      <w:r>
        <w:rPr>
          <w:b/>
          <w:i/>
          <w:iCs/>
          <w:color w:val="auto"/>
          <w:sz w:val="26"/>
          <w:szCs w:val="26"/>
          <w:highlight w:val="none"/>
        </w:rPr>
        <w:t>2.1. Thuận lợi :</w:t>
      </w:r>
    </w:p>
    <w:p>
      <w:pPr>
        <w:spacing w:after="0" w:line="240" w:lineRule="auto"/>
        <w:ind w:firstLine="478" w:firstLineChars="184"/>
        <w:jc w:val="both"/>
        <w:rPr>
          <w:color w:val="auto"/>
          <w:sz w:val="26"/>
          <w:szCs w:val="26"/>
          <w:highlight w:val="none"/>
        </w:rPr>
      </w:pPr>
      <w:r>
        <w:rPr>
          <w:color w:val="auto"/>
          <w:sz w:val="26"/>
          <w:szCs w:val="26"/>
          <w:highlight w:val="none"/>
        </w:rPr>
        <w:t>- Luôn được sự quan tâm theo dõi và chỉ đạo kịp thời của Bộ NN &amp; PTNT, Tổng công ty Lâm nghiệp Việt Nam-CTCP, Đảng ủy &amp; Công đoàn khối cơ sở Bộ NN &amp; PTNT cũng như sự ủng hộ, quan tâm tạo điều kiện thuận lợi trong công tác quản lý, bảo vệ và phòng chống cháy rừng, công tác quản lý giống của các cơ quan ban ngành tại một số địa phương mà Công ty có đất, rừng kinh doanh.</w:t>
      </w:r>
    </w:p>
    <w:p>
      <w:pPr>
        <w:spacing w:after="0" w:line="240" w:lineRule="auto"/>
        <w:ind w:firstLine="478" w:firstLineChars="184"/>
        <w:jc w:val="both"/>
        <w:rPr>
          <w:color w:val="auto"/>
          <w:sz w:val="26"/>
          <w:szCs w:val="26"/>
          <w:highlight w:val="none"/>
        </w:rPr>
      </w:pPr>
      <w:r>
        <w:rPr>
          <w:color w:val="auto"/>
          <w:sz w:val="26"/>
          <w:szCs w:val="26"/>
          <w:highlight w:val="none"/>
        </w:rPr>
        <w:t>- Hội đồng quản trị và Ban Giám đốc luôn đồng thuận, chủ động bám sát chỉ đạo, điều hành sản suất kinh doanh theo các Nghị quyết của Đại hội đồng cổ đông và Hội đồng quản trị. Cán bộ, người lao động của Công ty đã phát huy được tinh thần đoàn kết cố gắng khắc phục khó khăn, nỗ lực cao trong công việc, luôn hướng tới mục tiêu hoàn thành tốt nhiệm vụ được giao.</w:t>
      </w:r>
    </w:p>
    <w:p>
      <w:pPr>
        <w:spacing w:after="0" w:line="240" w:lineRule="auto"/>
        <w:ind w:firstLine="478" w:firstLineChars="184"/>
        <w:jc w:val="both"/>
        <w:rPr>
          <w:color w:val="auto"/>
          <w:sz w:val="26"/>
          <w:szCs w:val="26"/>
          <w:highlight w:val="none"/>
        </w:rPr>
      </w:pPr>
      <w:r>
        <w:rPr>
          <w:color w:val="auto"/>
          <w:sz w:val="26"/>
          <w:szCs w:val="26"/>
          <w:highlight w:val="none"/>
        </w:rPr>
        <w:t>- Công ty là một trong số các đơn vị sản xuất giống ở khu vực phía Nam có bề dày kinh nghiệm, đặc biệt là sản xuất giống cây lâm nghiệp bằng công nghệ mô, hom với chất lượng tốt, có thương hiệu trên thị trường. Công ty cũng đã có nhiều loại rừng giống chuyển hoá được công nhận.</w:t>
      </w:r>
    </w:p>
    <w:p>
      <w:pPr>
        <w:spacing w:after="0" w:line="240" w:lineRule="auto"/>
        <w:ind w:firstLine="478" w:firstLineChars="184"/>
        <w:jc w:val="both"/>
        <w:rPr>
          <w:color w:val="auto"/>
          <w:sz w:val="26"/>
          <w:szCs w:val="26"/>
          <w:highlight w:val="none"/>
        </w:rPr>
      </w:pPr>
      <w:r>
        <w:rPr>
          <w:color w:val="auto"/>
          <w:sz w:val="26"/>
          <w:szCs w:val="26"/>
          <w:highlight w:val="none"/>
        </w:rPr>
        <w:t>- Năng suất và chất lượng rừng trồng của Công ty ngày càng được cải thiện.</w:t>
      </w:r>
    </w:p>
    <w:p>
      <w:pPr>
        <w:spacing w:after="0" w:line="240" w:lineRule="auto"/>
        <w:ind w:firstLine="479" w:firstLineChars="184"/>
        <w:jc w:val="both"/>
        <w:rPr>
          <w:b/>
          <w:bCs/>
          <w:i/>
          <w:iCs/>
          <w:color w:val="auto"/>
          <w:sz w:val="26"/>
          <w:szCs w:val="26"/>
          <w:highlight w:val="none"/>
        </w:rPr>
      </w:pPr>
      <w:r>
        <w:rPr>
          <w:b/>
          <w:bCs/>
          <w:i/>
          <w:iCs/>
          <w:color w:val="auto"/>
          <w:sz w:val="26"/>
          <w:szCs w:val="26"/>
          <w:highlight w:val="none"/>
        </w:rPr>
        <w:t>2.2 Khó khăn :</w:t>
      </w:r>
    </w:p>
    <w:p>
      <w:pPr>
        <w:spacing w:after="0" w:line="240" w:lineRule="auto"/>
        <w:ind w:firstLine="478" w:firstLineChars="184"/>
        <w:jc w:val="both"/>
        <w:rPr>
          <w:color w:val="auto"/>
          <w:sz w:val="26"/>
          <w:szCs w:val="26"/>
          <w:highlight w:val="none"/>
        </w:rPr>
      </w:pPr>
      <w:r>
        <w:rPr>
          <w:color w:val="auto"/>
          <w:sz w:val="26"/>
          <w:szCs w:val="26"/>
          <w:highlight w:val="none"/>
        </w:rPr>
        <w:t>- Chi phí đầu vào cho sản xuất các loại cây giống lâm nghiệp tăng cao, thị phần đang phải đối mặt với sự cạnh tranh quyết liệt với các đơn vị tư nhân.</w:t>
      </w:r>
    </w:p>
    <w:p>
      <w:pPr>
        <w:spacing w:after="0" w:line="240" w:lineRule="auto"/>
        <w:ind w:firstLine="478" w:firstLineChars="184"/>
        <w:jc w:val="both"/>
        <w:rPr>
          <w:color w:val="auto"/>
          <w:sz w:val="26"/>
          <w:szCs w:val="26"/>
          <w:highlight w:val="none"/>
        </w:rPr>
      </w:pPr>
      <w:r>
        <w:rPr>
          <w:color w:val="auto"/>
          <w:sz w:val="26"/>
          <w:szCs w:val="26"/>
          <w:highlight w:val="none"/>
        </w:rPr>
        <w:t>- Rừng Công ty quản lý tại 4 Trạm trực thuộc với diện tích nhỏ, phân tán ở 3 tỉnh, xa trụ sở Công ty nên khó khăn trong quản lý, điều hành và làm tăng cao chi phí bảo vệ, phòng chống cháy rừng.</w:t>
      </w:r>
    </w:p>
    <w:p>
      <w:pPr>
        <w:spacing w:after="0" w:line="240" w:lineRule="auto"/>
        <w:ind w:firstLine="478" w:firstLineChars="184"/>
        <w:jc w:val="both"/>
        <w:rPr>
          <w:color w:val="auto"/>
          <w:sz w:val="26"/>
          <w:szCs w:val="26"/>
          <w:highlight w:val="none"/>
        </w:rPr>
      </w:pPr>
      <w:r>
        <w:rPr>
          <w:color w:val="auto"/>
          <w:sz w:val="26"/>
          <w:szCs w:val="26"/>
          <w:highlight w:val="none"/>
        </w:rPr>
        <w:t>- Tình hình dịch bệnh Covid-19 diễn biến phức tạp làm giá gỗ rừng trồng trên thị trường trong năm 2020 không ổn định, gây khó khăn trong việc bán rừng, đặc biệt là gỗ Tràm cừ.</w:t>
      </w:r>
    </w:p>
    <w:p>
      <w:pPr>
        <w:spacing w:after="0" w:line="240" w:lineRule="auto"/>
        <w:ind w:firstLine="478" w:firstLineChars="184"/>
        <w:jc w:val="both"/>
        <w:rPr>
          <w:color w:val="auto"/>
          <w:sz w:val="26"/>
          <w:szCs w:val="26"/>
          <w:highlight w:val="none"/>
        </w:rPr>
      </w:pPr>
      <w:r>
        <w:rPr>
          <w:color w:val="auto"/>
          <w:sz w:val="26"/>
          <w:szCs w:val="26"/>
          <w:highlight w:val="none"/>
        </w:rPr>
        <w:t>- Chi phí hỗ trợ của Nhà nước đối với rừng giữ hộ còn quá thấp (300.000 đ/ha) so với chi phí thực tế do vậy Công ty phải tự bỏ thêm chi phí khá lớn cho công tác QLBV 314,68 ha rừng này. Việc giao khoán diện tích rừng và đất rừng mà các Công ty giống xin giữ lại như chỉ đạo của Bộ NN-PTNT tới nay vấn đề này vẫn chưa được giải quyết dứt điểm.</w:t>
      </w:r>
    </w:p>
    <w:p>
      <w:pPr>
        <w:spacing w:after="0" w:line="240" w:lineRule="auto"/>
        <w:ind w:firstLine="478" w:firstLineChars="184"/>
        <w:jc w:val="both"/>
        <w:rPr>
          <w:color w:val="auto"/>
          <w:sz w:val="26"/>
          <w:szCs w:val="26"/>
          <w:highlight w:val="none"/>
        </w:rPr>
      </w:pPr>
      <w:r>
        <w:rPr>
          <w:color w:val="auto"/>
          <w:sz w:val="26"/>
          <w:szCs w:val="26"/>
          <w:highlight w:val="none"/>
        </w:rPr>
        <w:t>- Tiến độ xin cấp giấy CNQSDĐ và kí hợp đồng thuê đất phải tiếp tục bổ sung các hồ sơ giải trình, chưa xác lập được tính pháp lý vững chắc ở một số diện tích đất, rừng đang quản lý, sử dụng.</w:t>
      </w:r>
    </w:p>
    <w:p>
      <w:pPr>
        <w:spacing w:after="0" w:line="240" w:lineRule="auto"/>
        <w:ind w:firstLine="478" w:firstLineChars="184"/>
        <w:jc w:val="both"/>
        <w:rPr>
          <w:color w:val="auto"/>
          <w:sz w:val="26"/>
          <w:szCs w:val="26"/>
          <w:highlight w:val="none"/>
          <w:lang w:eastAsia="vi-VN"/>
        </w:rPr>
      </w:pPr>
      <w:r>
        <w:rPr>
          <w:color w:val="auto"/>
          <w:sz w:val="26"/>
          <w:szCs w:val="26"/>
          <w:highlight w:val="none"/>
          <w:lang w:eastAsia="vi-VN"/>
        </w:rPr>
        <w:t>- Phải thường xuyên cập nhật các bộ giống mới phù hợp với nhu cầu khách hàng, cần thời gian nghiên cứu hoàn thiện quy trình sản xuất cũng như đầu tư chi phí mới đưa vào sản xuất kinh doanh.</w:t>
      </w:r>
    </w:p>
    <w:p>
      <w:pPr>
        <w:spacing w:after="0" w:line="240" w:lineRule="auto"/>
        <w:ind w:firstLine="479" w:firstLineChars="184"/>
        <w:jc w:val="both"/>
        <w:rPr>
          <w:b/>
          <w:bCs/>
          <w:color w:val="auto"/>
          <w:sz w:val="26"/>
          <w:szCs w:val="26"/>
          <w:highlight w:val="none"/>
        </w:rPr>
      </w:pPr>
      <w:r>
        <w:rPr>
          <w:b/>
          <w:bCs/>
          <w:color w:val="auto"/>
          <w:sz w:val="26"/>
          <w:szCs w:val="26"/>
          <w:highlight w:val="none"/>
        </w:rPr>
        <w:t>II. KẾT QUẢ THỰC HIỆN KẾ HOẠCH SXKD NĂM 2020 :</w:t>
      </w:r>
    </w:p>
    <w:p>
      <w:pPr>
        <w:numPr>
          <w:ilvl w:val="0"/>
          <w:numId w:val="2"/>
        </w:numPr>
        <w:spacing w:after="0" w:line="240" w:lineRule="auto"/>
        <w:ind w:firstLine="479" w:firstLineChars="184"/>
        <w:jc w:val="both"/>
        <w:rPr>
          <w:b/>
          <w:bCs/>
          <w:color w:val="auto"/>
          <w:sz w:val="26"/>
          <w:szCs w:val="26"/>
          <w:highlight w:val="none"/>
        </w:rPr>
      </w:pPr>
      <w:r>
        <w:rPr>
          <w:b/>
          <w:bCs/>
          <w:color w:val="auto"/>
          <w:sz w:val="26"/>
          <w:szCs w:val="26"/>
          <w:highlight w:val="none"/>
        </w:rPr>
        <w:t>Kết quả thực hiện các chỉ tiêu tài chính:</w:t>
      </w:r>
    </w:p>
    <w:p>
      <w:pPr>
        <w:spacing w:after="0" w:line="240" w:lineRule="auto"/>
        <w:ind w:firstLine="478" w:firstLineChars="184"/>
        <w:jc w:val="both"/>
        <w:rPr>
          <w:color w:val="auto"/>
          <w:sz w:val="26"/>
          <w:szCs w:val="26"/>
          <w:highlight w:val="none"/>
        </w:rPr>
      </w:pPr>
      <w:r>
        <w:rPr>
          <w:color w:val="auto"/>
          <w:sz w:val="26"/>
          <w:szCs w:val="26"/>
          <w:highlight w:val="none"/>
        </w:rPr>
        <w:t>Năm 2020, Công ty thực hiện vượt mức kế hoạch các chỉ tiêu tài chính; doanh thu, lợi nhuận, cổ tức, thu nhập bình quân. Cụ thể :</w:t>
      </w:r>
    </w:p>
    <w:p>
      <w:pPr>
        <w:spacing w:after="0" w:line="240" w:lineRule="auto"/>
        <w:jc w:val="center"/>
        <w:rPr>
          <w:b/>
          <w:bCs/>
          <w:color w:val="auto"/>
          <w:sz w:val="26"/>
          <w:szCs w:val="26"/>
          <w:highlight w:val="none"/>
        </w:rPr>
      </w:pPr>
      <w:r>
        <w:rPr>
          <w:b/>
          <w:bCs/>
          <w:color w:val="auto"/>
          <w:sz w:val="26"/>
          <w:szCs w:val="26"/>
          <w:highlight w:val="none"/>
        </w:rPr>
        <w:t>Biểu thống kê kết quả thực hiện các chỉ tiêu tài chính năm 2020</w:t>
      </w:r>
    </w:p>
    <w:p>
      <w:pPr>
        <w:spacing w:after="0" w:line="240" w:lineRule="auto"/>
        <w:ind w:firstLine="426"/>
        <w:jc w:val="center"/>
        <w:rPr>
          <w:b/>
          <w:bCs/>
          <w:color w:val="auto"/>
          <w:highlight w:val="none"/>
        </w:rPr>
      </w:pPr>
    </w:p>
    <w:tbl>
      <w:tblPr>
        <w:tblStyle w:val="11"/>
        <w:tblW w:w="955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416"/>
        <w:gridCol w:w="1260"/>
        <w:gridCol w:w="1344"/>
        <w:gridCol w:w="1479"/>
        <w:gridCol w:w="1081"/>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trPr>
        <w:tc>
          <w:tcPr>
            <w:tcW w:w="730" w:type="dxa"/>
          </w:tcPr>
          <w:p>
            <w:pPr>
              <w:widowControl/>
              <w:spacing w:after="0" w:line="240" w:lineRule="auto"/>
              <w:jc w:val="center"/>
              <w:rPr>
                <w:b/>
                <w:bCs/>
                <w:color w:val="auto"/>
                <w:highlight w:val="none"/>
              </w:rPr>
            </w:pPr>
            <w:r>
              <w:rPr>
                <w:b/>
                <w:bCs/>
                <w:color w:val="auto"/>
                <w:highlight w:val="none"/>
              </w:rPr>
              <w:t>TT</w:t>
            </w:r>
          </w:p>
        </w:tc>
        <w:tc>
          <w:tcPr>
            <w:tcW w:w="2416" w:type="dxa"/>
          </w:tcPr>
          <w:p>
            <w:pPr>
              <w:widowControl/>
              <w:spacing w:after="0" w:line="240" w:lineRule="auto"/>
              <w:jc w:val="center"/>
              <w:rPr>
                <w:b/>
                <w:bCs/>
                <w:color w:val="auto"/>
                <w:highlight w:val="none"/>
              </w:rPr>
            </w:pPr>
            <w:r>
              <w:rPr>
                <w:b/>
                <w:bCs/>
                <w:color w:val="auto"/>
                <w:highlight w:val="none"/>
              </w:rPr>
              <w:t>Chỉ tiêu</w:t>
            </w:r>
          </w:p>
        </w:tc>
        <w:tc>
          <w:tcPr>
            <w:tcW w:w="1260" w:type="dxa"/>
            <w:vAlign w:val="bottom"/>
          </w:tcPr>
          <w:p>
            <w:pPr>
              <w:widowControl/>
              <w:jc w:val="center"/>
              <w:textAlignment w:val="center"/>
              <w:rPr>
                <w:rFonts w:eastAsia="SimSun"/>
                <w:b/>
                <w:bCs/>
                <w:color w:val="auto"/>
                <w:highlight w:val="none"/>
                <w:lang w:eastAsia="zh-CN"/>
              </w:rPr>
            </w:pPr>
            <w:r>
              <w:rPr>
                <w:rFonts w:eastAsia="SimSun"/>
                <w:b/>
                <w:bCs/>
                <w:color w:val="auto"/>
                <w:highlight w:val="none"/>
                <w:lang w:eastAsia="zh-CN"/>
              </w:rPr>
              <w:t>Đ.V.T</w:t>
            </w:r>
          </w:p>
        </w:tc>
        <w:tc>
          <w:tcPr>
            <w:tcW w:w="1344" w:type="dxa"/>
            <w:vAlign w:val="bottom"/>
          </w:tcPr>
          <w:p>
            <w:pPr>
              <w:widowControl/>
              <w:spacing w:after="0" w:line="240" w:lineRule="auto"/>
              <w:jc w:val="center"/>
              <w:rPr>
                <w:b/>
                <w:bCs/>
                <w:color w:val="auto"/>
                <w:highlight w:val="none"/>
              </w:rPr>
            </w:pPr>
            <w:r>
              <w:rPr>
                <w:b/>
                <w:bCs/>
                <w:color w:val="auto"/>
                <w:highlight w:val="none"/>
              </w:rPr>
              <w:t>Kế hoạch 2020</w:t>
            </w:r>
          </w:p>
        </w:tc>
        <w:tc>
          <w:tcPr>
            <w:tcW w:w="1479" w:type="dxa"/>
            <w:vAlign w:val="bottom"/>
          </w:tcPr>
          <w:p>
            <w:pPr>
              <w:widowControl/>
              <w:spacing w:after="0" w:line="240" w:lineRule="auto"/>
              <w:jc w:val="center"/>
              <w:rPr>
                <w:b/>
                <w:bCs/>
                <w:color w:val="auto"/>
                <w:highlight w:val="none"/>
              </w:rPr>
            </w:pPr>
            <w:r>
              <w:rPr>
                <w:b/>
                <w:bCs/>
                <w:color w:val="auto"/>
                <w:highlight w:val="none"/>
              </w:rPr>
              <w:t>Thực hiện 2020</w:t>
            </w:r>
          </w:p>
        </w:tc>
        <w:tc>
          <w:tcPr>
            <w:tcW w:w="1081" w:type="dxa"/>
            <w:vAlign w:val="bottom"/>
          </w:tcPr>
          <w:p>
            <w:pPr>
              <w:widowControl/>
              <w:spacing w:after="0" w:line="240" w:lineRule="auto"/>
              <w:jc w:val="center"/>
              <w:rPr>
                <w:b/>
                <w:bCs/>
                <w:color w:val="auto"/>
                <w:highlight w:val="none"/>
              </w:rPr>
            </w:pPr>
            <w:r>
              <w:rPr>
                <w:b/>
                <w:bCs/>
                <w:color w:val="auto"/>
                <w:highlight w:val="none"/>
              </w:rPr>
              <w:t>Tỷ lệ đạt (%)</w:t>
            </w:r>
          </w:p>
        </w:tc>
        <w:tc>
          <w:tcPr>
            <w:tcW w:w="1240" w:type="dxa"/>
            <w:vAlign w:val="bottom"/>
          </w:tcPr>
          <w:p>
            <w:pPr>
              <w:widowControl/>
              <w:spacing w:after="0" w:line="240" w:lineRule="auto"/>
              <w:jc w:val="center"/>
              <w:rPr>
                <w:b/>
                <w:bCs/>
                <w:color w:val="auto"/>
                <w:highlight w:val="none"/>
              </w:rPr>
            </w:pPr>
            <w:r>
              <w:rPr>
                <w:b/>
                <w:bCs/>
                <w:color w:val="auto"/>
                <w:highlight w:val="none"/>
              </w:rPr>
              <w:t>So với</w:t>
            </w:r>
          </w:p>
          <w:p>
            <w:pPr>
              <w:widowControl/>
              <w:spacing w:after="0" w:line="240" w:lineRule="auto"/>
              <w:jc w:val="center"/>
              <w:rPr>
                <w:b/>
                <w:bCs/>
                <w:color w:val="auto"/>
                <w:highlight w:val="none"/>
              </w:rPr>
            </w:pPr>
            <w:r>
              <w:rPr>
                <w:b/>
                <w:bCs/>
                <w:color w:val="auto"/>
                <w:highlight w:val="none"/>
              </w:rPr>
              <w:t>2019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30" w:type="dxa"/>
            <w:vAlign w:val="center"/>
          </w:tcPr>
          <w:p>
            <w:pPr>
              <w:widowControl/>
              <w:spacing w:after="0" w:line="240" w:lineRule="auto"/>
              <w:jc w:val="center"/>
              <w:rPr>
                <w:color w:val="auto"/>
                <w:highlight w:val="none"/>
              </w:rPr>
            </w:pPr>
            <w:r>
              <w:rPr>
                <w:color w:val="auto"/>
                <w:highlight w:val="none"/>
              </w:rPr>
              <w:t>1</w:t>
            </w:r>
          </w:p>
        </w:tc>
        <w:tc>
          <w:tcPr>
            <w:tcW w:w="2416" w:type="dxa"/>
            <w:vAlign w:val="center"/>
          </w:tcPr>
          <w:p>
            <w:pPr>
              <w:widowControl/>
              <w:spacing w:after="0" w:line="240" w:lineRule="auto"/>
              <w:jc w:val="left"/>
              <w:rPr>
                <w:color w:val="auto"/>
                <w:highlight w:val="none"/>
              </w:rPr>
            </w:pPr>
            <w:r>
              <w:rPr>
                <w:color w:val="auto"/>
                <w:highlight w:val="none"/>
              </w:rPr>
              <w:t>Doanh thu</w:t>
            </w:r>
          </w:p>
        </w:tc>
        <w:tc>
          <w:tcPr>
            <w:tcW w:w="1260" w:type="dxa"/>
            <w:vAlign w:val="center"/>
          </w:tcPr>
          <w:p>
            <w:pPr>
              <w:widowControl/>
              <w:spacing w:after="0" w:line="240" w:lineRule="auto"/>
              <w:jc w:val="center"/>
              <w:rPr>
                <w:color w:val="auto"/>
                <w:highlight w:val="none"/>
              </w:rPr>
            </w:pPr>
            <w:r>
              <w:rPr>
                <w:color w:val="auto"/>
                <w:highlight w:val="none"/>
              </w:rPr>
              <w:t>Tr. đ</w:t>
            </w:r>
          </w:p>
        </w:tc>
        <w:tc>
          <w:tcPr>
            <w:tcW w:w="1344" w:type="dxa"/>
            <w:vAlign w:val="center"/>
          </w:tcPr>
          <w:p>
            <w:pPr>
              <w:widowControl w:val="0"/>
              <w:spacing w:after="160" w:line="256" w:lineRule="auto"/>
              <w:jc w:val="right"/>
              <w:rPr>
                <w:color w:val="auto"/>
                <w:highlight w:val="none"/>
              </w:rPr>
            </w:pPr>
            <w:r>
              <w:rPr>
                <w:color w:val="auto"/>
                <w:highlight w:val="none"/>
                <w:lang w:eastAsia="zh-CN" w:bidi="ar"/>
              </w:rPr>
              <w:t>20.200</w:t>
            </w:r>
          </w:p>
        </w:tc>
        <w:tc>
          <w:tcPr>
            <w:tcW w:w="1479" w:type="dxa"/>
            <w:vAlign w:val="center"/>
          </w:tcPr>
          <w:p>
            <w:pPr>
              <w:widowControl w:val="0"/>
              <w:spacing w:after="160" w:line="256" w:lineRule="auto"/>
              <w:jc w:val="right"/>
              <w:rPr>
                <w:color w:val="auto"/>
                <w:highlight w:val="none"/>
              </w:rPr>
            </w:pPr>
            <w:r>
              <w:rPr>
                <w:color w:val="auto"/>
                <w:highlight w:val="none"/>
                <w:lang w:eastAsia="zh-CN" w:bidi="ar"/>
              </w:rPr>
              <w:t>31.471</w:t>
            </w:r>
          </w:p>
        </w:tc>
        <w:tc>
          <w:tcPr>
            <w:tcW w:w="1081" w:type="dxa"/>
            <w:vAlign w:val="center"/>
          </w:tcPr>
          <w:p>
            <w:pPr>
              <w:widowControl w:val="0"/>
              <w:spacing w:after="160" w:line="256" w:lineRule="auto"/>
              <w:jc w:val="right"/>
              <w:rPr>
                <w:color w:val="auto"/>
                <w:highlight w:val="none"/>
              </w:rPr>
            </w:pPr>
            <w:r>
              <w:rPr>
                <w:color w:val="auto"/>
                <w:highlight w:val="none"/>
                <w:lang w:eastAsia="zh-CN" w:bidi="ar"/>
              </w:rPr>
              <w:t>155,80</w:t>
            </w:r>
          </w:p>
        </w:tc>
        <w:tc>
          <w:tcPr>
            <w:tcW w:w="1240"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123.20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730" w:type="dxa"/>
            <w:vAlign w:val="center"/>
          </w:tcPr>
          <w:p>
            <w:pPr>
              <w:widowControl/>
              <w:spacing w:after="0" w:line="240" w:lineRule="auto"/>
              <w:jc w:val="center"/>
              <w:rPr>
                <w:color w:val="auto"/>
                <w:highlight w:val="none"/>
              </w:rPr>
            </w:pPr>
            <w:r>
              <w:rPr>
                <w:color w:val="auto"/>
                <w:highlight w:val="none"/>
              </w:rPr>
              <w:t>2</w:t>
            </w:r>
          </w:p>
        </w:tc>
        <w:tc>
          <w:tcPr>
            <w:tcW w:w="2416" w:type="dxa"/>
            <w:vAlign w:val="center"/>
          </w:tcPr>
          <w:p>
            <w:pPr>
              <w:widowControl/>
              <w:spacing w:after="0" w:line="240" w:lineRule="auto"/>
              <w:jc w:val="left"/>
              <w:rPr>
                <w:color w:val="auto"/>
                <w:highlight w:val="none"/>
              </w:rPr>
            </w:pPr>
            <w:r>
              <w:rPr>
                <w:color w:val="auto"/>
                <w:highlight w:val="none"/>
              </w:rPr>
              <w:t>Lợi nhuận trước thuế</w:t>
            </w:r>
          </w:p>
        </w:tc>
        <w:tc>
          <w:tcPr>
            <w:tcW w:w="1260" w:type="dxa"/>
            <w:vAlign w:val="center"/>
          </w:tcPr>
          <w:p>
            <w:pPr>
              <w:widowControl/>
              <w:spacing w:after="0" w:line="240" w:lineRule="auto"/>
              <w:jc w:val="center"/>
              <w:rPr>
                <w:color w:val="auto"/>
                <w:highlight w:val="none"/>
              </w:rPr>
            </w:pPr>
            <w:r>
              <w:rPr>
                <w:color w:val="auto"/>
                <w:highlight w:val="none"/>
              </w:rPr>
              <w:t>Tr. đ</w:t>
            </w:r>
          </w:p>
        </w:tc>
        <w:tc>
          <w:tcPr>
            <w:tcW w:w="1344" w:type="dxa"/>
            <w:vAlign w:val="center"/>
          </w:tcPr>
          <w:p>
            <w:pPr>
              <w:widowControl w:val="0"/>
              <w:spacing w:after="160" w:line="256" w:lineRule="auto"/>
              <w:jc w:val="right"/>
              <w:rPr>
                <w:color w:val="auto"/>
                <w:highlight w:val="none"/>
              </w:rPr>
            </w:pPr>
            <w:r>
              <w:rPr>
                <w:color w:val="auto"/>
                <w:highlight w:val="none"/>
                <w:lang w:eastAsia="zh-CN" w:bidi="ar"/>
              </w:rPr>
              <w:t>4.004</w:t>
            </w:r>
          </w:p>
        </w:tc>
        <w:tc>
          <w:tcPr>
            <w:tcW w:w="1479" w:type="dxa"/>
            <w:vAlign w:val="center"/>
          </w:tcPr>
          <w:p>
            <w:pPr>
              <w:widowControl w:val="0"/>
              <w:spacing w:after="160" w:line="256" w:lineRule="auto"/>
              <w:jc w:val="right"/>
              <w:rPr>
                <w:color w:val="auto"/>
                <w:highlight w:val="none"/>
              </w:rPr>
            </w:pPr>
            <w:r>
              <w:rPr>
                <w:color w:val="auto"/>
                <w:highlight w:val="none"/>
                <w:lang w:eastAsia="zh-CN" w:bidi="ar"/>
              </w:rPr>
              <w:t>5.398,90</w:t>
            </w:r>
          </w:p>
        </w:tc>
        <w:tc>
          <w:tcPr>
            <w:tcW w:w="1081" w:type="dxa"/>
            <w:vAlign w:val="center"/>
          </w:tcPr>
          <w:p>
            <w:pPr>
              <w:widowControl w:val="0"/>
              <w:spacing w:after="160" w:line="256" w:lineRule="auto"/>
              <w:jc w:val="right"/>
              <w:rPr>
                <w:color w:val="auto"/>
                <w:highlight w:val="none"/>
              </w:rPr>
            </w:pPr>
            <w:r>
              <w:rPr>
                <w:color w:val="auto"/>
                <w:highlight w:val="none"/>
                <w:lang w:eastAsia="zh-CN" w:bidi="ar"/>
              </w:rPr>
              <w:t>134,84</w:t>
            </w:r>
          </w:p>
        </w:tc>
        <w:tc>
          <w:tcPr>
            <w:tcW w:w="1240"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30" w:type="dxa"/>
            <w:vAlign w:val="center"/>
          </w:tcPr>
          <w:p>
            <w:pPr>
              <w:widowControl/>
              <w:spacing w:after="0" w:line="240" w:lineRule="auto"/>
              <w:jc w:val="center"/>
              <w:rPr>
                <w:color w:val="auto"/>
                <w:highlight w:val="none"/>
              </w:rPr>
            </w:pPr>
            <w:r>
              <w:rPr>
                <w:color w:val="auto"/>
                <w:highlight w:val="none"/>
              </w:rPr>
              <w:t>3</w:t>
            </w:r>
          </w:p>
        </w:tc>
        <w:tc>
          <w:tcPr>
            <w:tcW w:w="2416" w:type="dxa"/>
            <w:vAlign w:val="center"/>
          </w:tcPr>
          <w:p>
            <w:pPr>
              <w:widowControl/>
              <w:spacing w:after="0" w:line="240" w:lineRule="auto"/>
              <w:jc w:val="left"/>
              <w:rPr>
                <w:color w:val="auto"/>
                <w:highlight w:val="none"/>
              </w:rPr>
            </w:pPr>
            <w:r>
              <w:rPr>
                <w:color w:val="auto"/>
                <w:highlight w:val="none"/>
              </w:rPr>
              <w:t>Lợi nhuận sau thuế</w:t>
            </w:r>
          </w:p>
        </w:tc>
        <w:tc>
          <w:tcPr>
            <w:tcW w:w="1260" w:type="dxa"/>
            <w:vAlign w:val="center"/>
          </w:tcPr>
          <w:p>
            <w:pPr>
              <w:widowControl/>
              <w:spacing w:after="0" w:line="240" w:lineRule="auto"/>
              <w:jc w:val="center"/>
              <w:rPr>
                <w:color w:val="auto"/>
                <w:highlight w:val="none"/>
              </w:rPr>
            </w:pPr>
            <w:r>
              <w:rPr>
                <w:color w:val="auto"/>
                <w:highlight w:val="none"/>
              </w:rPr>
              <w:t>Tr. đ</w:t>
            </w:r>
          </w:p>
        </w:tc>
        <w:tc>
          <w:tcPr>
            <w:tcW w:w="1344" w:type="dxa"/>
            <w:vAlign w:val="center"/>
          </w:tcPr>
          <w:p>
            <w:pPr>
              <w:widowControl w:val="0"/>
              <w:spacing w:after="160" w:line="256" w:lineRule="auto"/>
              <w:jc w:val="right"/>
              <w:rPr>
                <w:color w:val="auto"/>
                <w:highlight w:val="none"/>
              </w:rPr>
            </w:pPr>
            <w:r>
              <w:rPr>
                <w:color w:val="auto"/>
                <w:highlight w:val="none"/>
                <w:lang w:eastAsia="zh-CN" w:bidi="ar"/>
              </w:rPr>
              <w:t>3.203,20</w:t>
            </w:r>
          </w:p>
        </w:tc>
        <w:tc>
          <w:tcPr>
            <w:tcW w:w="1479"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4.643,06</w:t>
            </w:r>
          </w:p>
        </w:tc>
        <w:tc>
          <w:tcPr>
            <w:tcW w:w="1081"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144,95</w:t>
            </w:r>
          </w:p>
        </w:tc>
        <w:tc>
          <w:tcPr>
            <w:tcW w:w="1240"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30" w:type="dxa"/>
            <w:vAlign w:val="center"/>
          </w:tcPr>
          <w:p>
            <w:pPr>
              <w:widowControl/>
              <w:spacing w:after="0" w:line="240" w:lineRule="auto"/>
              <w:jc w:val="center"/>
              <w:rPr>
                <w:color w:val="auto"/>
                <w:highlight w:val="none"/>
              </w:rPr>
            </w:pPr>
            <w:r>
              <w:rPr>
                <w:color w:val="auto"/>
                <w:highlight w:val="none"/>
              </w:rPr>
              <w:t>4</w:t>
            </w:r>
          </w:p>
        </w:tc>
        <w:tc>
          <w:tcPr>
            <w:tcW w:w="2416" w:type="dxa"/>
            <w:vAlign w:val="center"/>
          </w:tcPr>
          <w:p>
            <w:pPr>
              <w:widowControl/>
              <w:spacing w:after="0" w:line="240" w:lineRule="auto"/>
              <w:jc w:val="left"/>
              <w:rPr>
                <w:color w:val="auto"/>
                <w:highlight w:val="none"/>
              </w:rPr>
            </w:pPr>
            <w:r>
              <w:rPr>
                <w:color w:val="auto"/>
                <w:highlight w:val="none"/>
              </w:rPr>
              <w:t>Nộp ngân sách</w:t>
            </w:r>
          </w:p>
        </w:tc>
        <w:tc>
          <w:tcPr>
            <w:tcW w:w="1260" w:type="dxa"/>
            <w:vAlign w:val="center"/>
          </w:tcPr>
          <w:p>
            <w:pPr>
              <w:widowControl/>
              <w:spacing w:after="0" w:line="240" w:lineRule="auto"/>
              <w:jc w:val="center"/>
              <w:rPr>
                <w:color w:val="auto"/>
                <w:highlight w:val="none"/>
              </w:rPr>
            </w:pPr>
            <w:r>
              <w:rPr>
                <w:color w:val="auto"/>
                <w:highlight w:val="none"/>
              </w:rPr>
              <w:t>Tr. đ</w:t>
            </w:r>
          </w:p>
        </w:tc>
        <w:tc>
          <w:tcPr>
            <w:tcW w:w="1344" w:type="dxa"/>
            <w:vAlign w:val="center"/>
          </w:tcPr>
          <w:p>
            <w:pPr>
              <w:widowControl w:val="0"/>
              <w:spacing w:after="160" w:line="256" w:lineRule="auto"/>
              <w:jc w:val="right"/>
              <w:rPr>
                <w:color w:val="auto"/>
                <w:highlight w:val="none"/>
              </w:rPr>
            </w:pPr>
            <w:r>
              <w:rPr>
                <w:color w:val="auto"/>
                <w:highlight w:val="none"/>
                <w:lang w:eastAsia="zh-CN" w:bidi="ar"/>
              </w:rPr>
              <w:t>800,8</w:t>
            </w:r>
          </w:p>
        </w:tc>
        <w:tc>
          <w:tcPr>
            <w:tcW w:w="1479"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755,84</w:t>
            </w:r>
          </w:p>
        </w:tc>
        <w:tc>
          <w:tcPr>
            <w:tcW w:w="1081"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94,39</w:t>
            </w:r>
          </w:p>
        </w:tc>
        <w:tc>
          <w:tcPr>
            <w:tcW w:w="1240"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71,95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30" w:type="dxa"/>
            <w:vAlign w:val="center"/>
          </w:tcPr>
          <w:p>
            <w:pPr>
              <w:widowControl/>
              <w:spacing w:after="0" w:line="240" w:lineRule="auto"/>
              <w:jc w:val="center"/>
              <w:rPr>
                <w:color w:val="auto"/>
                <w:highlight w:val="none"/>
              </w:rPr>
            </w:pPr>
            <w:r>
              <w:rPr>
                <w:color w:val="auto"/>
                <w:highlight w:val="none"/>
              </w:rPr>
              <w:t>5</w:t>
            </w:r>
          </w:p>
        </w:tc>
        <w:tc>
          <w:tcPr>
            <w:tcW w:w="2416" w:type="dxa"/>
            <w:vAlign w:val="center"/>
          </w:tcPr>
          <w:p>
            <w:pPr>
              <w:widowControl/>
              <w:spacing w:after="0" w:line="240" w:lineRule="auto"/>
              <w:jc w:val="left"/>
              <w:rPr>
                <w:color w:val="auto"/>
                <w:highlight w:val="none"/>
              </w:rPr>
            </w:pPr>
            <w:r>
              <w:rPr>
                <w:color w:val="auto"/>
                <w:highlight w:val="none"/>
              </w:rPr>
              <w:t>Chia cổ tức (dự kiến)</w:t>
            </w:r>
          </w:p>
        </w:tc>
        <w:tc>
          <w:tcPr>
            <w:tcW w:w="1260" w:type="dxa"/>
            <w:vAlign w:val="center"/>
          </w:tcPr>
          <w:p>
            <w:pPr>
              <w:widowControl/>
              <w:spacing w:after="0" w:line="240" w:lineRule="auto"/>
              <w:jc w:val="center"/>
              <w:rPr>
                <w:color w:val="auto"/>
                <w:highlight w:val="none"/>
              </w:rPr>
            </w:pPr>
            <w:r>
              <w:rPr>
                <w:color w:val="auto"/>
                <w:highlight w:val="none"/>
              </w:rPr>
              <w:t>%</w:t>
            </w:r>
          </w:p>
        </w:tc>
        <w:tc>
          <w:tcPr>
            <w:tcW w:w="1344" w:type="dxa"/>
            <w:vAlign w:val="center"/>
          </w:tcPr>
          <w:p>
            <w:pPr>
              <w:widowControl w:val="0"/>
              <w:spacing w:after="160" w:line="256" w:lineRule="auto"/>
              <w:jc w:val="right"/>
              <w:rPr>
                <w:color w:val="auto"/>
                <w:highlight w:val="none"/>
              </w:rPr>
            </w:pPr>
            <w:r>
              <w:rPr>
                <w:color w:val="auto"/>
                <w:highlight w:val="none"/>
                <w:lang w:eastAsia="zh-CN" w:bidi="ar"/>
              </w:rPr>
              <w:t>20</w:t>
            </w:r>
          </w:p>
        </w:tc>
        <w:tc>
          <w:tcPr>
            <w:tcW w:w="1479"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30</w:t>
            </w:r>
          </w:p>
        </w:tc>
        <w:tc>
          <w:tcPr>
            <w:tcW w:w="1081"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150</w:t>
            </w:r>
          </w:p>
        </w:tc>
        <w:tc>
          <w:tcPr>
            <w:tcW w:w="1240"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widowControl/>
              <w:jc w:val="center"/>
              <w:textAlignment w:val="center"/>
              <w:rPr>
                <w:color w:val="auto"/>
                <w:highlight w:val="none"/>
              </w:rPr>
            </w:pPr>
            <w:r>
              <w:rPr>
                <w:rFonts w:eastAsia="SimSun"/>
                <w:color w:val="auto"/>
                <w:highlight w:val="none"/>
                <w:lang w:eastAsia="zh-CN"/>
              </w:rPr>
              <w:t>6</w:t>
            </w:r>
          </w:p>
        </w:tc>
        <w:tc>
          <w:tcPr>
            <w:tcW w:w="2416" w:type="dxa"/>
            <w:vAlign w:val="center"/>
          </w:tcPr>
          <w:p>
            <w:pPr>
              <w:widowControl/>
              <w:jc w:val="left"/>
              <w:textAlignment w:val="center"/>
              <w:rPr>
                <w:color w:val="auto"/>
                <w:highlight w:val="none"/>
              </w:rPr>
            </w:pPr>
            <w:r>
              <w:rPr>
                <w:rFonts w:eastAsia="SimSun"/>
                <w:color w:val="auto"/>
                <w:highlight w:val="none"/>
                <w:lang w:eastAsia="zh-CN"/>
              </w:rPr>
              <w:t>Thu nhập bình quân</w:t>
            </w:r>
          </w:p>
        </w:tc>
        <w:tc>
          <w:tcPr>
            <w:tcW w:w="1260" w:type="dxa"/>
            <w:vAlign w:val="center"/>
          </w:tcPr>
          <w:p>
            <w:pPr>
              <w:widowControl/>
              <w:spacing w:after="0" w:line="240" w:lineRule="auto"/>
              <w:jc w:val="center"/>
              <w:rPr>
                <w:color w:val="auto"/>
                <w:highlight w:val="none"/>
              </w:rPr>
            </w:pPr>
            <w:r>
              <w:rPr>
                <w:color w:val="auto"/>
                <w:highlight w:val="none"/>
              </w:rPr>
              <w:t>Tr.đ/người</w:t>
            </w:r>
          </w:p>
          <w:p>
            <w:pPr>
              <w:widowControl/>
              <w:spacing w:after="0" w:line="240" w:lineRule="auto"/>
              <w:jc w:val="center"/>
              <w:rPr>
                <w:color w:val="auto"/>
                <w:highlight w:val="none"/>
              </w:rPr>
            </w:pPr>
            <w:r>
              <w:rPr>
                <w:color w:val="auto"/>
                <w:highlight w:val="none"/>
              </w:rPr>
              <w:t>/tháng</w:t>
            </w:r>
          </w:p>
        </w:tc>
        <w:tc>
          <w:tcPr>
            <w:tcW w:w="1344" w:type="dxa"/>
            <w:vAlign w:val="center"/>
          </w:tcPr>
          <w:p>
            <w:pPr>
              <w:widowControl w:val="0"/>
              <w:spacing w:after="160" w:line="256" w:lineRule="auto"/>
              <w:jc w:val="right"/>
              <w:rPr>
                <w:rFonts w:hint="default"/>
                <w:color w:val="auto"/>
                <w:highlight w:val="none"/>
                <w:lang w:val="en-US"/>
              </w:rPr>
            </w:pPr>
            <w:r>
              <w:rPr>
                <w:rFonts w:hint="default"/>
                <w:color w:val="auto"/>
                <w:highlight w:val="none"/>
                <w:lang w:val="en-US" w:eastAsia="zh-CN" w:bidi="ar"/>
              </w:rPr>
              <w:t>10,6</w:t>
            </w:r>
          </w:p>
        </w:tc>
        <w:tc>
          <w:tcPr>
            <w:tcW w:w="1479"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12,61</w:t>
            </w:r>
          </w:p>
        </w:tc>
        <w:tc>
          <w:tcPr>
            <w:tcW w:w="1081" w:type="dxa"/>
            <w:shd w:val="clear" w:color="auto" w:fill="auto"/>
            <w:vAlign w:val="center"/>
          </w:tcPr>
          <w:p>
            <w:pPr>
              <w:widowControl w:val="0"/>
              <w:spacing w:after="160" w:line="256" w:lineRule="auto"/>
              <w:jc w:val="right"/>
              <w:rPr>
                <w:rFonts w:hint="default"/>
                <w:color w:val="auto"/>
                <w:highlight w:val="none"/>
                <w:lang w:val="en-US"/>
              </w:rPr>
            </w:pPr>
            <w:r>
              <w:rPr>
                <w:color w:val="auto"/>
                <w:highlight w:val="none"/>
                <w:lang w:eastAsia="zh-CN" w:bidi="ar"/>
              </w:rPr>
              <w:t>1</w:t>
            </w:r>
            <w:r>
              <w:rPr>
                <w:rFonts w:hint="default"/>
                <w:color w:val="auto"/>
                <w:highlight w:val="none"/>
                <w:lang w:val="en-US" w:eastAsia="zh-CN" w:bidi="ar"/>
              </w:rPr>
              <w:t>1</w:t>
            </w:r>
            <w:r>
              <w:rPr>
                <w:color w:val="auto"/>
                <w:highlight w:val="none"/>
                <w:lang w:eastAsia="zh-CN" w:bidi="ar"/>
              </w:rPr>
              <w:t>8,</w:t>
            </w:r>
            <w:r>
              <w:rPr>
                <w:rFonts w:hint="default"/>
                <w:color w:val="auto"/>
                <w:highlight w:val="none"/>
                <w:lang w:val="en-US" w:eastAsia="zh-CN" w:bidi="ar"/>
              </w:rPr>
              <w:t>96</w:t>
            </w:r>
          </w:p>
        </w:tc>
        <w:tc>
          <w:tcPr>
            <w:tcW w:w="1240" w:type="dxa"/>
            <w:shd w:val="clear" w:color="auto" w:fill="auto"/>
            <w:vAlign w:val="center"/>
          </w:tcPr>
          <w:p>
            <w:pPr>
              <w:widowControl w:val="0"/>
              <w:spacing w:after="160" w:line="256" w:lineRule="auto"/>
              <w:jc w:val="right"/>
              <w:rPr>
                <w:color w:val="auto"/>
                <w:highlight w:val="none"/>
              </w:rPr>
            </w:pPr>
            <w:r>
              <w:rPr>
                <w:color w:val="auto"/>
                <w:highlight w:val="none"/>
                <w:lang w:eastAsia="zh-CN" w:bidi="ar"/>
              </w:rPr>
              <w:t>106,59</w:t>
            </w:r>
          </w:p>
        </w:tc>
      </w:tr>
    </w:tbl>
    <w:p>
      <w:pPr>
        <w:spacing w:after="0" w:line="240" w:lineRule="auto"/>
        <w:ind w:firstLine="441" w:firstLineChars="184"/>
        <w:jc w:val="right"/>
        <w:rPr>
          <w:color w:val="auto"/>
          <w:highlight w:val="none"/>
        </w:rPr>
      </w:pPr>
    </w:p>
    <w:p>
      <w:pPr>
        <w:spacing w:after="0" w:line="240" w:lineRule="auto"/>
        <w:jc w:val="center"/>
        <w:rPr>
          <w:b/>
          <w:bCs/>
          <w:color w:val="auto"/>
          <w:sz w:val="26"/>
          <w:szCs w:val="26"/>
          <w:highlight w:val="none"/>
        </w:rPr>
      </w:pPr>
      <w:r>
        <w:rPr>
          <w:b/>
          <w:bCs/>
          <w:color w:val="auto"/>
          <w:sz w:val="26"/>
          <w:szCs w:val="26"/>
          <w:highlight w:val="none"/>
        </w:rPr>
        <w:t>Biểu thống kê chi tiết kết quả thực hiện các hạng mục doanh thu năm 2020</w:t>
      </w:r>
    </w:p>
    <w:p>
      <w:pPr>
        <w:spacing w:after="0" w:line="240" w:lineRule="auto"/>
        <w:ind w:firstLine="441" w:firstLineChars="184"/>
        <w:jc w:val="both"/>
        <w:rPr>
          <w:color w:val="auto"/>
          <w:highlight w:val="none"/>
        </w:rPr>
      </w:pPr>
    </w:p>
    <w:tbl>
      <w:tblPr>
        <w:tblStyle w:val="3"/>
        <w:tblW w:w="9386" w:type="dxa"/>
        <w:jc w:val="center"/>
        <w:tblLayout w:type="fixed"/>
        <w:tblCellMar>
          <w:top w:w="0" w:type="dxa"/>
          <w:left w:w="108" w:type="dxa"/>
          <w:bottom w:w="0" w:type="dxa"/>
          <w:right w:w="108" w:type="dxa"/>
        </w:tblCellMar>
      </w:tblPr>
      <w:tblGrid>
        <w:gridCol w:w="1983"/>
        <w:gridCol w:w="723"/>
        <w:gridCol w:w="1224"/>
        <w:gridCol w:w="1128"/>
        <w:gridCol w:w="1260"/>
        <w:gridCol w:w="1212"/>
        <w:gridCol w:w="890"/>
        <w:gridCol w:w="966"/>
      </w:tblGrid>
      <w:tr>
        <w:tblPrEx>
          <w:tblCellMar>
            <w:top w:w="0" w:type="dxa"/>
            <w:left w:w="108" w:type="dxa"/>
            <w:bottom w:w="0" w:type="dxa"/>
            <w:right w:w="108" w:type="dxa"/>
          </w:tblCellMar>
        </w:tblPrEx>
        <w:trPr>
          <w:trHeight w:val="419" w:hRule="atLeast"/>
          <w:jc w:val="center"/>
        </w:trPr>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Hạng mục</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ĐVT</w:t>
            </w:r>
          </w:p>
        </w:tc>
        <w:tc>
          <w:tcPr>
            <w:tcW w:w="2352" w:type="dxa"/>
            <w:gridSpan w:val="2"/>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Kế hoạch 2020</w:t>
            </w:r>
          </w:p>
        </w:tc>
        <w:tc>
          <w:tcPr>
            <w:tcW w:w="2472" w:type="dxa"/>
            <w:gridSpan w:val="2"/>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Thực hiện 2020</w:t>
            </w:r>
          </w:p>
        </w:tc>
        <w:tc>
          <w:tcPr>
            <w:tcW w:w="1856"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 thực hiện</w:t>
            </w:r>
          </w:p>
        </w:tc>
      </w:tr>
      <w:tr>
        <w:tblPrEx>
          <w:tblCellMar>
            <w:top w:w="0" w:type="dxa"/>
            <w:left w:w="108" w:type="dxa"/>
            <w:bottom w:w="0" w:type="dxa"/>
            <w:right w:w="108" w:type="dxa"/>
          </w:tblCellMar>
        </w:tblPrEx>
        <w:trPr>
          <w:trHeight w:val="411" w:hRule="atLeast"/>
          <w:jc w:val="center"/>
        </w:trPr>
        <w:tc>
          <w:tcPr>
            <w:tcW w:w="19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Calibri" w:hAnsi="Calibri"/>
                <w:color w:val="auto"/>
                <w:sz w:val="22"/>
                <w:szCs w:val="22"/>
                <w:highlight w:val="none"/>
              </w:rPr>
            </w:pP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Calibri" w:hAnsi="Calibri"/>
                <w:color w:val="auto"/>
                <w:sz w:val="22"/>
                <w:szCs w:val="22"/>
                <w:highlight w:val="none"/>
              </w:rPr>
            </w:pP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Số lượng</w:t>
            </w:r>
          </w:p>
        </w:tc>
        <w:tc>
          <w:tcPr>
            <w:tcW w:w="1128" w:type="dxa"/>
            <w:tcBorders>
              <w:top w:val="nil"/>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Doanh thu (trđ)</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Số lượng</w:t>
            </w: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Doanh thu (trđ)</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Số lượng</w:t>
            </w:r>
          </w:p>
        </w:tc>
        <w:tc>
          <w:tcPr>
            <w:tcW w:w="966" w:type="dxa"/>
            <w:tcBorders>
              <w:top w:val="nil"/>
              <w:left w:val="nil"/>
              <w:bottom w:val="single" w:color="auto" w:sz="4" w:space="0"/>
              <w:right w:val="single" w:color="auto" w:sz="4" w:space="0"/>
            </w:tcBorders>
            <w:shd w:val="clear" w:color="auto" w:fill="auto"/>
            <w:vAlign w:val="center"/>
          </w:tcPr>
          <w:p>
            <w:pPr>
              <w:spacing w:after="0" w:line="240" w:lineRule="auto"/>
              <w:jc w:val="center"/>
              <w:rPr>
                <w:b/>
                <w:bCs/>
                <w:color w:val="auto"/>
                <w:sz w:val="22"/>
                <w:szCs w:val="22"/>
                <w:highlight w:val="none"/>
              </w:rPr>
            </w:pPr>
            <w:r>
              <w:rPr>
                <w:rFonts w:eastAsia="Calibri"/>
                <w:b/>
                <w:bCs/>
                <w:color w:val="auto"/>
                <w:sz w:val="22"/>
                <w:szCs w:val="22"/>
                <w:highlight w:val="none"/>
                <w:lang w:eastAsia="zh-CN" w:bidi="ar"/>
              </w:rPr>
              <w:t>Doanh thu</w:t>
            </w:r>
          </w:p>
        </w:tc>
      </w:tr>
      <w:tr>
        <w:tblPrEx>
          <w:tblCellMar>
            <w:top w:w="0" w:type="dxa"/>
            <w:left w:w="108" w:type="dxa"/>
            <w:bottom w:w="0" w:type="dxa"/>
            <w:right w:w="108" w:type="dxa"/>
          </w:tblCellMar>
        </w:tblPrEx>
        <w:trPr>
          <w:trHeight w:val="315"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1. Hạt giống</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Kg</w:t>
            </w: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2.000</w:t>
            </w:r>
          </w:p>
        </w:tc>
        <w:tc>
          <w:tcPr>
            <w:tcW w:w="1128"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500</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1.875</w:t>
            </w: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727,42</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93,75</w:t>
            </w:r>
          </w:p>
        </w:tc>
        <w:tc>
          <w:tcPr>
            <w:tcW w:w="96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color w:val="auto"/>
                <w:highlight w:val="none"/>
              </w:rPr>
            </w:pPr>
            <w:r>
              <w:rPr>
                <w:rFonts w:eastAsia="Calibri"/>
                <w:color w:val="auto"/>
                <w:highlight w:val="none"/>
                <w:lang w:eastAsia="zh-CN" w:bidi="ar"/>
              </w:rPr>
              <w:t>145,48</w:t>
            </w:r>
          </w:p>
        </w:tc>
      </w:tr>
      <w:tr>
        <w:tblPrEx>
          <w:tblCellMar>
            <w:top w:w="0" w:type="dxa"/>
            <w:left w:w="108" w:type="dxa"/>
            <w:bottom w:w="0" w:type="dxa"/>
            <w:right w:w="108" w:type="dxa"/>
          </w:tblCellMar>
        </w:tblPrEx>
        <w:trPr>
          <w:trHeight w:val="630"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sz w:val="22"/>
                <w:szCs w:val="22"/>
                <w:highlight w:val="none"/>
              </w:rPr>
            </w:pPr>
            <w:r>
              <w:rPr>
                <w:rFonts w:eastAsia="Calibri"/>
                <w:color w:val="auto"/>
                <w:sz w:val="22"/>
                <w:szCs w:val="22"/>
                <w:highlight w:val="none"/>
                <w:lang w:eastAsia="zh-CN" w:bidi="ar"/>
              </w:rPr>
              <w:t>2. Cây con + cây cảnh quan (tiêu thụ)</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sz w:val="22"/>
                <w:szCs w:val="22"/>
                <w:highlight w:val="none"/>
              </w:rPr>
            </w:pPr>
            <w:r>
              <w:rPr>
                <w:rFonts w:eastAsia="Calibri"/>
                <w:color w:val="auto"/>
                <w:sz w:val="22"/>
                <w:szCs w:val="22"/>
                <w:highlight w:val="none"/>
                <w:lang w:eastAsia="zh-CN" w:bidi="ar"/>
              </w:rPr>
              <w:t>Cây</w:t>
            </w: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sz w:val="22"/>
                <w:szCs w:val="22"/>
                <w:highlight w:val="none"/>
              </w:rPr>
            </w:pPr>
            <w:r>
              <w:rPr>
                <w:rFonts w:eastAsia="Calibri"/>
                <w:color w:val="auto"/>
                <w:sz w:val="22"/>
                <w:szCs w:val="22"/>
                <w:highlight w:val="none"/>
                <w:lang w:eastAsia="zh-CN" w:bidi="ar"/>
              </w:rPr>
              <w:t>14.000.000</w:t>
            </w:r>
          </w:p>
        </w:tc>
        <w:tc>
          <w:tcPr>
            <w:tcW w:w="1128"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sz w:val="22"/>
                <w:szCs w:val="22"/>
                <w:highlight w:val="none"/>
              </w:rPr>
            </w:pPr>
            <w:r>
              <w:rPr>
                <w:rFonts w:eastAsia="Calibri"/>
                <w:color w:val="auto"/>
                <w:sz w:val="22"/>
                <w:szCs w:val="22"/>
                <w:highlight w:val="none"/>
                <w:lang w:eastAsia="zh-CN" w:bidi="ar"/>
              </w:rPr>
              <w:t>14.250</w:t>
            </w:r>
          </w:p>
        </w:tc>
        <w:tc>
          <w:tcPr>
            <w:tcW w:w="1260" w:type="dxa"/>
            <w:tcBorders>
              <w:top w:val="nil"/>
              <w:left w:val="nil"/>
              <w:bottom w:val="single" w:color="auto" w:sz="4" w:space="0"/>
              <w:right w:val="single" w:color="auto" w:sz="4" w:space="0"/>
            </w:tcBorders>
            <w:shd w:val="clear" w:color="auto" w:fill="FFFFFF"/>
            <w:vAlign w:val="center"/>
          </w:tcPr>
          <w:p>
            <w:pPr>
              <w:spacing w:after="0" w:line="240" w:lineRule="auto"/>
              <w:jc w:val="center"/>
              <w:rPr>
                <w:color w:val="auto"/>
                <w:sz w:val="22"/>
                <w:szCs w:val="22"/>
                <w:highlight w:val="none"/>
              </w:rPr>
            </w:pPr>
            <w:r>
              <w:rPr>
                <w:rFonts w:eastAsia="Calibri"/>
                <w:color w:val="auto"/>
                <w:sz w:val="22"/>
                <w:szCs w:val="22"/>
                <w:highlight w:val="none"/>
                <w:lang w:eastAsia="zh-CN" w:bidi="ar"/>
              </w:rPr>
              <w:t>19.458.620</w:t>
            </w:r>
          </w:p>
        </w:tc>
        <w:tc>
          <w:tcPr>
            <w:tcW w:w="1212" w:type="dxa"/>
            <w:tcBorders>
              <w:top w:val="nil"/>
              <w:left w:val="nil"/>
              <w:bottom w:val="single" w:color="auto" w:sz="4" w:space="0"/>
              <w:right w:val="single" w:color="auto" w:sz="4" w:space="0"/>
            </w:tcBorders>
            <w:shd w:val="clear" w:color="auto" w:fill="FFFFFF"/>
            <w:vAlign w:val="center"/>
          </w:tcPr>
          <w:p>
            <w:pPr>
              <w:spacing w:after="0" w:line="240" w:lineRule="auto"/>
              <w:jc w:val="center"/>
              <w:rPr>
                <w:color w:val="auto"/>
                <w:sz w:val="22"/>
                <w:szCs w:val="22"/>
                <w:highlight w:val="none"/>
              </w:rPr>
            </w:pPr>
            <w:r>
              <w:rPr>
                <w:rFonts w:eastAsia="Calibri"/>
                <w:color w:val="auto"/>
                <w:sz w:val="22"/>
                <w:szCs w:val="22"/>
                <w:highlight w:val="none"/>
                <w:lang w:eastAsia="zh-CN" w:bidi="ar"/>
              </w:rPr>
              <w:t>19.713,26</w:t>
            </w:r>
          </w:p>
        </w:tc>
        <w:tc>
          <w:tcPr>
            <w:tcW w:w="890" w:type="dxa"/>
            <w:tcBorders>
              <w:top w:val="nil"/>
              <w:left w:val="nil"/>
              <w:bottom w:val="single" w:color="auto" w:sz="4" w:space="0"/>
              <w:right w:val="single" w:color="auto" w:sz="4" w:space="0"/>
            </w:tcBorders>
            <w:shd w:val="clear" w:color="auto" w:fill="FFFFFF"/>
            <w:vAlign w:val="center"/>
          </w:tcPr>
          <w:p>
            <w:pPr>
              <w:spacing w:after="0" w:line="240" w:lineRule="auto"/>
              <w:jc w:val="center"/>
              <w:rPr>
                <w:color w:val="auto"/>
                <w:sz w:val="22"/>
                <w:szCs w:val="22"/>
                <w:highlight w:val="none"/>
              </w:rPr>
            </w:pPr>
            <w:r>
              <w:rPr>
                <w:rFonts w:eastAsia="Calibri"/>
                <w:color w:val="auto"/>
                <w:sz w:val="22"/>
                <w:szCs w:val="22"/>
                <w:highlight w:val="none"/>
                <w:lang w:eastAsia="zh-CN" w:bidi="ar"/>
              </w:rPr>
              <w:t>138,99</w:t>
            </w:r>
          </w:p>
        </w:tc>
        <w:tc>
          <w:tcPr>
            <w:tcW w:w="966" w:type="dxa"/>
            <w:tcBorders>
              <w:top w:val="nil"/>
              <w:left w:val="nil"/>
              <w:bottom w:val="single" w:color="auto" w:sz="4" w:space="0"/>
              <w:right w:val="single" w:color="auto" w:sz="4" w:space="0"/>
            </w:tcBorders>
            <w:shd w:val="clear" w:color="auto" w:fill="FFFFFF"/>
            <w:vAlign w:val="center"/>
          </w:tcPr>
          <w:p>
            <w:pPr>
              <w:spacing w:after="0" w:line="240" w:lineRule="auto"/>
              <w:jc w:val="center"/>
              <w:rPr>
                <w:color w:val="auto"/>
                <w:sz w:val="22"/>
                <w:szCs w:val="22"/>
                <w:highlight w:val="none"/>
              </w:rPr>
            </w:pPr>
            <w:r>
              <w:rPr>
                <w:rFonts w:eastAsia="Calibri"/>
                <w:color w:val="auto"/>
                <w:sz w:val="22"/>
                <w:szCs w:val="22"/>
                <w:highlight w:val="none"/>
                <w:lang w:eastAsia="zh-CN" w:bidi="ar"/>
              </w:rPr>
              <w:t>138,34</w:t>
            </w:r>
          </w:p>
        </w:tc>
      </w:tr>
      <w:tr>
        <w:tblPrEx>
          <w:tblCellMar>
            <w:top w:w="0" w:type="dxa"/>
            <w:left w:w="108" w:type="dxa"/>
            <w:bottom w:w="0" w:type="dxa"/>
            <w:right w:w="108" w:type="dxa"/>
          </w:tblCellMar>
        </w:tblPrEx>
        <w:trPr>
          <w:trHeight w:val="315"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3. Khai thác rừng</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Ha</w:t>
            </w: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40,51</w:t>
            </w:r>
          </w:p>
        </w:tc>
        <w:tc>
          <w:tcPr>
            <w:tcW w:w="1128"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5,000</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11,09</w:t>
            </w: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4.254,50</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27,38</w:t>
            </w:r>
          </w:p>
        </w:tc>
        <w:tc>
          <w:tcPr>
            <w:tcW w:w="96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color w:val="auto"/>
                <w:highlight w:val="none"/>
              </w:rPr>
            </w:pPr>
            <w:r>
              <w:rPr>
                <w:rFonts w:eastAsia="Calibri"/>
                <w:color w:val="auto"/>
                <w:highlight w:val="none"/>
                <w:lang w:eastAsia="zh-CN" w:bidi="ar"/>
              </w:rPr>
              <w:t>85,09</w:t>
            </w:r>
          </w:p>
        </w:tc>
      </w:tr>
      <w:tr>
        <w:tblPrEx>
          <w:tblCellMar>
            <w:top w:w="0" w:type="dxa"/>
            <w:left w:w="108" w:type="dxa"/>
            <w:bottom w:w="0" w:type="dxa"/>
            <w:right w:w="108" w:type="dxa"/>
          </w:tblCellMar>
        </w:tblPrEx>
        <w:trPr>
          <w:trHeight w:val="315"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Tận thu Sao, dầu La Ngà</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m</w:t>
            </w:r>
            <w:r>
              <w:rPr>
                <w:rFonts w:eastAsia="Calibri"/>
                <w:color w:val="auto"/>
                <w:highlight w:val="none"/>
                <w:vertAlign w:val="superscript"/>
                <w:lang w:eastAsia="zh-CN" w:bidi="ar"/>
              </w:rPr>
              <w:t>3</w:t>
            </w: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32.26</w:t>
            </w: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158,06</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color w:val="auto"/>
                <w:highlight w:val="none"/>
              </w:rPr>
            </w:pPr>
          </w:p>
        </w:tc>
      </w:tr>
      <w:tr>
        <w:tblPrEx>
          <w:tblCellMar>
            <w:top w:w="0" w:type="dxa"/>
            <w:left w:w="108" w:type="dxa"/>
            <w:bottom w:w="0" w:type="dxa"/>
            <w:right w:w="108" w:type="dxa"/>
          </w:tblCellMar>
        </w:tblPrEx>
        <w:trPr>
          <w:trHeight w:val="315"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Tận thu Giá tỵ La Ngà</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m</w:t>
            </w:r>
            <w:r>
              <w:rPr>
                <w:rFonts w:eastAsia="Calibri"/>
                <w:color w:val="auto"/>
                <w:highlight w:val="none"/>
                <w:vertAlign w:val="superscript"/>
                <w:lang w:eastAsia="zh-CN" w:bidi="ar"/>
              </w:rPr>
              <w:t>3</w:t>
            </w: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385,73</w:t>
            </w: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4.640,00</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color w:val="auto"/>
                <w:highlight w:val="none"/>
              </w:rPr>
            </w:pPr>
          </w:p>
        </w:tc>
      </w:tr>
      <w:tr>
        <w:tblPrEx>
          <w:tblCellMar>
            <w:top w:w="0" w:type="dxa"/>
            <w:left w:w="108" w:type="dxa"/>
            <w:bottom w:w="0" w:type="dxa"/>
            <w:right w:w="108" w:type="dxa"/>
          </w:tblCellMar>
        </w:tblPrEx>
        <w:trPr>
          <w:trHeight w:val="315"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4. Lãi ngân hàng</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vMerge w:val="restart"/>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450</w:t>
            </w: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52,70</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jc w:val="center"/>
              <w:rPr>
                <w:color w:val="auto"/>
                <w:highlight w:val="none"/>
              </w:rPr>
            </w:pPr>
            <w:r>
              <w:rPr>
                <w:rFonts w:eastAsia="Calibri"/>
                <w:color w:val="auto"/>
                <w:highlight w:val="none"/>
                <w:lang w:eastAsia="zh-CN" w:bidi="ar"/>
              </w:rPr>
              <w:t>167,06</w:t>
            </w:r>
          </w:p>
        </w:tc>
      </w:tr>
      <w:tr>
        <w:tblPrEx>
          <w:tblCellMar>
            <w:top w:w="0" w:type="dxa"/>
            <w:left w:w="108" w:type="dxa"/>
            <w:bottom w:w="0" w:type="dxa"/>
            <w:right w:w="108" w:type="dxa"/>
          </w:tblCellMar>
        </w:tblPrEx>
        <w:trPr>
          <w:trHeight w:val="315"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5. Thu nhập khác + DVMTR</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vMerge w:val="continue"/>
            <w:tcBorders>
              <w:top w:val="nil"/>
              <w:left w:val="single" w:color="auto" w:sz="4" w:space="0"/>
              <w:bottom w:val="single" w:color="000000" w:sz="4" w:space="0"/>
              <w:right w:val="single" w:color="auto" w:sz="4" w:space="0"/>
            </w:tcBorders>
            <w:shd w:val="clear" w:color="auto" w:fill="auto"/>
            <w:vAlign w:val="center"/>
          </w:tcPr>
          <w:p>
            <w:pPr>
              <w:spacing w:after="0" w:line="240" w:lineRule="auto"/>
              <w:rPr>
                <w:rFonts w:ascii="Calibri" w:hAnsi="Calibri"/>
                <w:color w:val="auto"/>
                <w:highlight w:val="none"/>
              </w:rPr>
            </w:pP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121,22</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vMerge w:val="continue"/>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rPr>
                <w:rFonts w:ascii="Calibri" w:hAnsi="Calibri"/>
                <w:color w:val="auto"/>
                <w:highlight w:val="none"/>
              </w:rPr>
            </w:pPr>
          </w:p>
        </w:tc>
      </w:tr>
      <w:tr>
        <w:tblPrEx>
          <w:tblCellMar>
            <w:top w:w="0" w:type="dxa"/>
            <w:left w:w="108" w:type="dxa"/>
            <w:bottom w:w="0" w:type="dxa"/>
            <w:right w:w="108" w:type="dxa"/>
          </w:tblCellMar>
        </w:tblPrEx>
        <w:trPr>
          <w:trHeight w:val="315"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6. Khác: 573 NK</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vMerge w:val="continue"/>
            <w:tcBorders>
              <w:top w:val="nil"/>
              <w:left w:val="single" w:color="auto" w:sz="4" w:space="0"/>
              <w:bottom w:val="single" w:color="000000" w:sz="4" w:space="0"/>
              <w:right w:val="single" w:color="auto" w:sz="4" w:space="0"/>
            </w:tcBorders>
            <w:shd w:val="clear" w:color="auto" w:fill="auto"/>
            <w:vAlign w:val="center"/>
          </w:tcPr>
          <w:p>
            <w:pPr>
              <w:spacing w:after="0" w:line="240" w:lineRule="auto"/>
              <w:rPr>
                <w:rFonts w:ascii="Calibri" w:hAnsi="Calibri"/>
                <w:color w:val="auto"/>
                <w:highlight w:val="none"/>
              </w:rPr>
            </w:pP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525,00</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vMerge w:val="continue"/>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rPr>
                <w:rFonts w:ascii="Calibri" w:hAnsi="Calibri"/>
                <w:color w:val="auto"/>
                <w:highlight w:val="none"/>
              </w:rPr>
            </w:pPr>
          </w:p>
        </w:tc>
      </w:tr>
      <w:tr>
        <w:tblPrEx>
          <w:tblCellMar>
            <w:top w:w="0" w:type="dxa"/>
            <w:left w:w="108" w:type="dxa"/>
            <w:bottom w:w="0" w:type="dxa"/>
            <w:right w:w="108" w:type="dxa"/>
          </w:tblCellMar>
        </w:tblPrEx>
        <w:trPr>
          <w:trHeight w:val="303"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7. Khác: Thuốc ra rễ</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vMerge w:val="continue"/>
            <w:tcBorders>
              <w:top w:val="nil"/>
              <w:left w:val="single" w:color="auto" w:sz="4" w:space="0"/>
              <w:bottom w:val="single" w:color="000000" w:sz="4" w:space="0"/>
              <w:right w:val="single" w:color="auto" w:sz="4" w:space="0"/>
            </w:tcBorders>
            <w:shd w:val="clear" w:color="auto" w:fill="auto"/>
            <w:vAlign w:val="center"/>
          </w:tcPr>
          <w:p>
            <w:pPr>
              <w:spacing w:after="0" w:line="240" w:lineRule="auto"/>
              <w:rPr>
                <w:rFonts w:ascii="Calibri" w:hAnsi="Calibri"/>
                <w:color w:val="auto"/>
                <w:highlight w:val="none"/>
              </w:rPr>
            </w:pP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52,85</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vMerge w:val="continue"/>
            <w:tcBorders>
              <w:top w:val="nil"/>
              <w:left w:val="single" w:color="auto" w:sz="4" w:space="0"/>
              <w:bottom w:val="single" w:color="000000" w:sz="4" w:space="0"/>
              <w:right w:val="single" w:color="auto" w:sz="4" w:space="0"/>
            </w:tcBorders>
            <w:shd w:val="clear" w:color="auto" w:fill="auto"/>
            <w:noWrap/>
            <w:vAlign w:val="center"/>
          </w:tcPr>
          <w:p>
            <w:pPr>
              <w:spacing w:after="0" w:line="240" w:lineRule="auto"/>
              <w:rPr>
                <w:rFonts w:ascii="Calibri" w:hAnsi="Calibri"/>
                <w:color w:val="auto"/>
                <w:highlight w:val="none"/>
              </w:rPr>
            </w:pPr>
          </w:p>
        </w:tc>
      </w:tr>
      <w:tr>
        <w:tblPrEx>
          <w:tblCellMar>
            <w:top w:w="0" w:type="dxa"/>
            <w:left w:w="108" w:type="dxa"/>
            <w:bottom w:w="0" w:type="dxa"/>
            <w:right w:w="108" w:type="dxa"/>
          </w:tblCellMar>
        </w:tblPrEx>
        <w:trPr>
          <w:trHeight w:val="303"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8. Dự án giống</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color w:val="auto"/>
                <w:highlight w:val="none"/>
              </w:rPr>
            </w:pP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1.171,78</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color w:val="auto"/>
                <w:highlight w:val="none"/>
              </w:rPr>
            </w:pPr>
          </w:p>
        </w:tc>
      </w:tr>
      <w:tr>
        <w:tblPrEx>
          <w:tblCellMar>
            <w:top w:w="0" w:type="dxa"/>
            <w:left w:w="108" w:type="dxa"/>
            <w:bottom w:w="0" w:type="dxa"/>
            <w:right w:w="108" w:type="dxa"/>
          </w:tblCellMar>
        </w:tblPrEx>
        <w:trPr>
          <w:trHeight w:val="303" w:hRule="atLeast"/>
          <w:jc w:val="center"/>
        </w:trPr>
        <w:tc>
          <w:tcPr>
            <w:tcW w:w="1983"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color w:val="auto"/>
                <w:highlight w:val="none"/>
              </w:rPr>
            </w:pPr>
            <w:r>
              <w:rPr>
                <w:rFonts w:eastAsia="Calibri"/>
                <w:color w:val="auto"/>
                <w:highlight w:val="none"/>
                <w:lang w:eastAsia="zh-CN" w:bidi="ar"/>
              </w:rPr>
              <w:t>9. Dự án trồng rừng khảo nghiệm</w:t>
            </w:r>
          </w:p>
        </w:tc>
        <w:tc>
          <w:tcPr>
            <w:tcW w:w="723"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24"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128" w:type="dxa"/>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color w:val="auto"/>
                <w:highlight w:val="none"/>
              </w:rPr>
            </w:pPr>
          </w:p>
        </w:tc>
        <w:tc>
          <w:tcPr>
            <w:tcW w:w="126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1212"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r>
              <w:rPr>
                <w:rFonts w:eastAsia="Calibri"/>
                <w:color w:val="auto"/>
                <w:highlight w:val="none"/>
                <w:lang w:eastAsia="zh-CN" w:bidi="ar"/>
              </w:rPr>
              <w:t>54,22</w:t>
            </w:r>
          </w:p>
        </w:tc>
        <w:tc>
          <w:tcPr>
            <w:tcW w:w="890" w:type="dxa"/>
            <w:tcBorders>
              <w:top w:val="nil"/>
              <w:left w:val="nil"/>
              <w:bottom w:val="single" w:color="auto" w:sz="4" w:space="0"/>
              <w:right w:val="single" w:color="auto" w:sz="4" w:space="0"/>
            </w:tcBorders>
            <w:shd w:val="clear" w:color="auto" w:fill="auto"/>
            <w:vAlign w:val="center"/>
          </w:tcPr>
          <w:p>
            <w:pPr>
              <w:spacing w:after="0" w:line="240" w:lineRule="auto"/>
              <w:jc w:val="center"/>
              <w:rPr>
                <w:color w:val="auto"/>
                <w:highlight w:val="none"/>
              </w:rPr>
            </w:pPr>
          </w:p>
        </w:tc>
        <w:tc>
          <w:tcPr>
            <w:tcW w:w="966" w:type="dxa"/>
            <w:tcBorders>
              <w:top w:val="nil"/>
              <w:left w:val="single" w:color="auto" w:sz="4" w:space="0"/>
              <w:bottom w:val="single" w:color="000000" w:sz="4" w:space="0"/>
              <w:right w:val="single" w:color="auto" w:sz="4" w:space="0"/>
            </w:tcBorders>
            <w:shd w:val="clear" w:color="auto" w:fill="auto"/>
            <w:vAlign w:val="center"/>
          </w:tcPr>
          <w:p>
            <w:pPr>
              <w:spacing w:after="0" w:line="240" w:lineRule="auto"/>
              <w:jc w:val="center"/>
              <w:rPr>
                <w:color w:val="auto"/>
                <w:highlight w:val="none"/>
              </w:rPr>
            </w:pPr>
          </w:p>
        </w:tc>
      </w:tr>
      <w:tr>
        <w:tblPrEx>
          <w:tblCellMar>
            <w:top w:w="0" w:type="dxa"/>
            <w:left w:w="108" w:type="dxa"/>
            <w:bottom w:w="0" w:type="dxa"/>
            <w:right w:w="108" w:type="dxa"/>
          </w:tblCellMar>
        </w:tblPrEx>
        <w:trPr>
          <w:trHeight w:val="332" w:hRule="atLeast"/>
          <w:jc w:val="center"/>
        </w:trPr>
        <w:tc>
          <w:tcPr>
            <w:tcW w:w="1983"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rPr>
                <w:b/>
                <w:bCs/>
                <w:color w:val="auto"/>
                <w:highlight w:val="none"/>
              </w:rPr>
            </w:pPr>
            <w:r>
              <w:rPr>
                <w:rFonts w:eastAsia="Calibri"/>
                <w:b/>
                <w:bCs/>
                <w:color w:val="auto"/>
                <w:highlight w:val="none"/>
                <w:lang w:eastAsia="zh-CN" w:bidi="ar"/>
              </w:rPr>
              <w:t>TỔNG</w:t>
            </w:r>
          </w:p>
        </w:tc>
        <w:tc>
          <w:tcPr>
            <w:tcW w:w="72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b/>
                <w:bCs/>
                <w:color w:val="auto"/>
                <w:highlight w:val="none"/>
              </w:rPr>
            </w:pPr>
          </w:p>
        </w:tc>
        <w:tc>
          <w:tcPr>
            <w:tcW w:w="1224"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b/>
                <w:bCs/>
                <w:color w:val="auto"/>
                <w:highlight w:val="none"/>
              </w:rPr>
            </w:pPr>
          </w:p>
        </w:tc>
        <w:tc>
          <w:tcPr>
            <w:tcW w:w="112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b/>
                <w:bCs/>
                <w:color w:val="auto"/>
                <w:highlight w:val="none"/>
              </w:rPr>
            </w:pPr>
            <w:r>
              <w:rPr>
                <w:rFonts w:eastAsia="Calibri"/>
                <w:b/>
                <w:bCs/>
                <w:color w:val="auto"/>
                <w:highlight w:val="none"/>
                <w:lang w:eastAsia="zh-CN" w:bidi="ar"/>
              </w:rPr>
              <w:t>20.200</w:t>
            </w:r>
          </w:p>
        </w:tc>
        <w:tc>
          <w:tcPr>
            <w:tcW w:w="126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b/>
                <w:bCs/>
                <w:color w:val="auto"/>
                <w:highlight w:val="none"/>
              </w:rPr>
            </w:pPr>
          </w:p>
        </w:tc>
        <w:tc>
          <w:tcPr>
            <w:tcW w:w="1212"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b/>
                <w:bCs/>
                <w:color w:val="auto"/>
                <w:highlight w:val="none"/>
              </w:rPr>
            </w:pPr>
            <w:r>
              <w:rPr>
                <w:rFonts w:eastAsia="Calibri"/>
                <w:b/>
                <w:bCs/>
                <w:color w:val="auto"/>
                <w:highlight w:val="none"/>
                <w:lang w:eastAsia="zh-CN" w:bidi="ar"/>
              </w:rPr>
              <w:t>31.471.04</w:t>
            </w:r>
          </w:p>
        </w:tc>
        <w:tc>
          <w:tcPr>
            <w:tcW w:w="890"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b/>
                <w:bCs/>
                <w:color w:val="auto"/>
                <w:highlight w:val="none"/>
              </w:rPr>
            </w:pPr>
          </w:p>
        </w:tc>
        <w:tc>
          <w:tcPr>
            <w:tcW w:w="96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b/>
                <w:bCs/>
                <w:color w:val="auto"/>
                <w:highlight w:val="none"/>
              </w:rPr>
            </w:pPr>
            <w:r>
              <w:rPr>
                <w:rFonts w:eastAsia="Calibri"/>
                <w:b/>
                <w:bCs/>
                <w:color w:val="auto"/>
                <w:highlight w:val="none"/>
                <w:lang w:eastAsia="zh-CN" w:bidi="ar"/>
              </w:rPr>
              <w:t>155,80</w:t>
            </w:r>
          </w:p>
        </w:tc>
      </w:tr>
    </w:tbl>
    <w:p>
      <w:pPr>
        <w:spacing w:after="0" w:line="240" w:lineRule="auto"/>
        <w:ind w:firstLine="441" w:firstLineChars="184"/>
        <w:jc w:val="both"/>
        <w:rPr>
          <w:color w:val="auto"/>
          <w:highlight w:val="none"/>
        </w:rPr>
      </w:pPr>
    </w:p>
    <w:p>
      <w:pPr>
        <w:spacing w:after="0" w:line="240" w:lineRule="auto"/>
        <w:ind w:firstLine="479" w:firstLineChars="184"/>
        <w:jc w:val="both"/>
        <w:rPr>
          <w:color w:val="auto"/>
          <w:sz w:val="26"/>
          <w:szCs w:val="26"/>
          <w:highlight w:val="none"/>
        </w:rPr>
      </w:pPr>
      <w:r>
        <w:rPr>
          <w:b/>
          <w:bCs/>
          <w:color w:val="auto"/>
          <w:sz w:val="26"/>
          <w:szCs w:val="26"/>
          <w:highlight w:val="none"/>
        </w:rPr>
        <w:t>2. Thực hiện kế hoạch sản xuất lâm nghiệp :</w:t>
      </w:r>
    </w:p>
    <w:p>
      <w:pPr>
        <w:spacing w:after="0" w:line="240" w:lineRule="auto"/>
        <w:ind w:firstLine="479" w:firstLineChars="184"/>
        <w:jc w:val="both"/>
        <w:rPr>
          <w:b/>
          <w:i/>
          <w:color w:val="auto"/>
          <w:sz w:val="26"/>
          <w:szCs w:val="26"/>
          <w:highlight w:val="none"/>
        </w:rPr>
      </w:pPr>
      <w:r>
        <w:rPr>
          <w:b/>
          <w:i/>
          <w:color w:val="auto"/>
          <w:sz w:val="26"/>
          <w:szCs w:val="26"/>
          <w:highlight w:val="none"/>
        </w:rPr>
        <w:t xml:space="preserve">2.1. Công tác giống : </w:t>
      </w:r>
    </w:p>
    <w:p>
      <w:pPr>
        <w:spacing w:after="0" w:line="240" w:lineRule="auto"/>
        <w:ind w:firstLine="550"/>
        <w:jc w:val="both"/>
        <w:rPr>
          <w:color w:val="auto"/>
          <w:sz w:val="26"/>
          <w:szCs w:val="26"/>
          <w:highlight w:val="none"/>
          <w:lang w:eastAsia="vi-VN"/>
        </w:rPr>
      </w:pPr>
      <w:r>
        <w:rPr>
          <w:color w:val="auto"/>
          <w:sz w:val="26"/>
          <w:szCs w:val="26"/>
          <w:highlight w:val="none"/>
          <w:lang w:eastAsia="vi-VN"/>
        </w:rPr>
        <w:t xml:space="preserve">Năm 2020, Công ty phải đối mặt giải quyết những vấn đề phát sinh gây ảnh hưởng đến SXKD, đó là : Khách hàng có </w:t>
      </w:r>
      <w:r>
        <w:rPr>
          <w:rFonts w:hint="default"/>
          <w:color w:val="auto"/>
          <w:sz w:val="26"/>
          <w:szCs w:val="26"/>
          <w:highlight w:val="none"/>
          <w:lang w:val="en-US" w:eastAsia="vi-VN"/>
        </w:rPr>
        <w:t>xu hướng chuyển sang</w:t>
      </w:r>
      <w:r>
        <w:rPr>
          <w:color w:val="auto"/>
          <w:sz w:val="26"/>
          <w:szCs w:val="26"/>
          <w:highlight w:val="none"/>
          <w:lang w:eastAsia="vi-VN"/>
        </w:rPr>
        <w:t xml:space="preserve"> mua các giống cây mô mới</w:t>
      </w:r>
      <w:r>
        <w:rPr>
          <w:rFonts w:hint="default"/>
          <w:color w:val="auto"/>
          <w:sz w:val="26"/>
          <w:szCs w:val="26"/>
          <w:highlight w:val="none"/>
          <w:lang w:val="en-US" w:eastAsia="vi-VN"/>
        </w:rPr>
        <w:t xml:space="preserve"> AH1, AH7;</w:t>
      </w:r>
      <w:r>
        <w:rPr>
          <w:color w:val="auto"/>
          <w:sz w:val="26"/>
          <w:szCs w:val="26"/>
          <w:highlight w:val="none"/>
          <w:lang w:eastAsia="vi-VN"/>
        </w:rPr>
        <w:t xml:space="preserve"> nấm bệnh vườn cây hom, nhân công Trạm Bình </w:t>
      </w:r>
      <w:r>
        <w:rPr>
          <w:rFonts w:hint="default"/>
          <w:color w:val="auto"/>
          <w:sz w:val="26"/>
          <w:szCs w:val="26"/>
          <w:highlight w:val="none"/>
          <w:lang w:val="en-US" w:eastAsia="vi-VN"/>
        </w:rPr>
        <w:t>S</w:t>
      </w:r>
      <w:r>
        <w:rPr>
          <w:color w:val="auto"/>
          <w:sz w:val="26"/>
          <w:szCs w:val="26"/>
          <w:highlight w:val="none"/>
          <w:lang w:eastAsia="vi-VN"/>
        </w:rPr>
        <w:t>ơn không gắn bó với Công ty do xung quanh khu vực có nhiều khu công nghiệp thu hút lao động.</w:t>
      </w:r>
    </w:p>
    <w:p>
      <w:pPr>
        <w:spacing w:after="0" w:line="240" w:lineRule="auto"/>
        <w:ind w:firstLine="550"/>
        <w:jc w:val="both"/>
        <w:rPr>
          <w:color w:val="auto"/>
          <w:sz w:val="26"/>
          <w:szCs w:val="26"/>
          <w:highlight w:val="none"/>
          <w:lang w:eastAsia="vi-VN"/>
        </w:rPr>
      </w:pPr>
      <w:r>
        <w:rPr>
          <w:color w:val="auto"/>
          <w:sz w:val="26"/>
          <w:szCs w:val="26"/>
          <w:highlight w:val="none"/>
          <w:lang w:eastAsia="vi-VN"/>
        </w:rPr>
        <w:t>Được sự chỉ đạo và hỗ trợ tạo điều kiện của Tổng Công ty Lâm nghiệp VN, lãnh đạo Công ty đã thực hiện các biện pháp để giải quyết vấn đề như :</w:t>
      </w:r>
    </w:p>
    <w:p>
      <w:pPr>
        <w:pStyle w:val="9"/>
        <w:tabs>
          <w:tab w:val="left" w:pos="0"/>
          <w:tab w:val="left" w:pos="7180"/>
        </w:tabs>
        <w:spacing w:before="60" w:beforeAutospacing="0" w:after="60" w:afterAutospacing="0"/>
        <w:ind w:right="1" w:firstLine="567"/>
        <w:jc w:val="both"/>
        <w:rPr>
          <w:color w:val="auto"/>
          <w:sz w:val="26"/>
          <w:szCs w:val="26"/>
          <w:highlight w:val="none"/>
        </w:rPr>
      </w:pPr>
      <w:r>
        <w:rPr>
          <w:color w:val="auto"/>
          <w:sz w:val="26"/>
          <w:szCs w:val="26"/>
          <w:highlight w:val="none"/>
          <w:lang w:eastAsia="vi-VN"/>
        </w:rPr>
        <w:t xml:space="preserve">- </w:t>
      </w:r>
      <w:r>
        <w:rPr>
          <w:color w:val="auto"/>
          <w:sz w:val="26"/>
          <w:szCs w:val="26"/>
          <w:highlight w:val="none"/>
          <w:lang w:eastAsia="zh-CN" w:bidi="ar"/>
        </w:rPr>
        <w:t>Duy trì và tiếp tục sản xuất các giống : Keo lai BV, AH1, AH7, Keo lá tràm AA9, Bạch đàn U6. Đồng thời</w:t>
      </w:r>
      <w:r>
        <w:rPr>
          <w:color w:val="auto"/>
          <w:sz w:val="26"/>
          <w:szCs w:val="26"/>
          <w:highlight w:val="none"/>
          <w:lang w:val="sv" w:eastAsia="zh-CN" w:bidi="ar"/>
        </w:rPr>
        <w:t xml:space="preserve"> hợp tác với </w:t>
      </w:r>
      <w:r>
        <w:rPr>
          <w:bCs/>
          <w:color w:val="auto"/>
          <w:sz w:val="26"/>
          <w:szCs w:val="26"/>
          <w:highlight w:val="none"/>
          <w:lang w:val="sv" w:eastAsia="zh-CN" w:bidi="ar"/>
        </w:rPr>
        <w:t>Viện NC Giống và CNSH Lâm nghiệp tiếp nhận thành công q</w:t>
      </w:r>
      <w:r>
        <w:rPr>
          <w:color w:val="auto"/>
          <w:sz w:val="26"/>
          <w:szCs w:val="26"/>
          <w:highlight w:val="none"/>
          <w:lang w:val="sv" w:eastAsia="zh-CN" w:bidi="ar"/>
        </w:rPr>
        <w:t>uy trình vi nhân giống 3 dòng Keo lá tràm Clt18, Clt57 và Clt98.</w:t>
      </w:r>
    </w:p>
    <w:p>
      <w:pPr>
        <w:spacing w:after="0" w:line="240" w:lineRule="auto"/>
        <w:ind w:firstLine="550"/>
        <w:jc w:val="both"/>
        <w:rPr>
          <w:color w:val="auto"/>
          <w:sz w:val="26"/>
          <w:szCs w:val="26"/>
          <w:highlight w:val="none"/>
          <w:lang w:eastAsia="vi-VN"/>
        </w:rPr>
      </w:pPr>
      <w:r>
        <w:rPr>
          <w:color w:val="auto"/>
          <w:sz w:val="26"/>
          <w:szCs w:val="26"/>
          <w:highlight w:val="none"/>
          <w:lang w:eastAsia="vi-VN"/>
        </w:rPr>
        <w:t xml:space="preserve">- Tăng cường sản xuất các dòng Keo lai mới như AH1, AH7  </w:t>
      </w:r>
      <w:r>
        <w:rPr>
          <w:rFonts w:hint="default"/>
          <w:color w:val="auto"/>
          <w:sz w:val="26"/>
          <w:szCs w:val="26"/>
          <w:highlight w:val="none"/>
          <w:lang w:val="en-US" w:eastAsia="vi-VN"/>
        </w:rPr>
        <w:t>nhằm đáp ứng nhu cầu cao nhất của khách hàng</w:t>
      </w:r>
      <w:r>
        <w:rPr>
          <w:color w:val="auto"/>
          <w:sz w:val="26"/>
          <w:szCs w:val="26"/>
          <w:highlight w:val="none"/>
          <w:lang w:eastAsia="vi-VN"/>
        </w:rPr>
        <w:t>. Triển khai nhận chuyển giao các dòng Keo lá tràm cao sản Clt để chuẩn bị đưa vào SXKD trong vài năm tới.</w:t>
      </w:r>
    </w:p>
    <w:p>
      <w:pPr>
        <w:spacing w:after="0" w:line="240" w:lineRule="auto"/>
        <w:ind w:firstLine="550"/>
        <w:jc w:val="both"/>
        <w:rPr>
          <w:color w:val="auto"/>
          <w:sz w:val="26"/>
          <w:szCs w:val="26"/>
          <w:highlight w:val="none"/>
          <w:lang w:eastAsia="vi-VN"/>
        </w:rPr>
      </w:pPr>
      <w:r>
        <w:rPr>
          <w:color w:val="auto"/>
          <w:sz w:val="26"/>
          <w:szCs w:val="26"/>
          <w:highlight w:val="none"/>
          <w:lang w:eastAsia="vi-VN"/>
        </w:rPr>
        <w:t>- Rà soát, sửa đổi, xây dựng ban hành quy trình sản xuất, quy trình quản lý chất lượng sản phẩm cây giống, quản lý vườn ươm và tổ chức quán triệt, thực hiện nghiêm ngặt các quy trình trên.</w:t>
      </w:r>
    </w:p>
    <w:p>
      <w:pPr>
        <w:spacing w:after="0" w:line="240" w:lineRule="auto"/>
        <w:ind w:firstLine="550"/>
        <w:jc w:val="both"/>
        <w:rPr>
          <w:color w:val="auto"/>
          <w:sz w:val="26"/>
          <w:szCs w:val="26"/>
          <w:highlight w:val="none"/>
          <w:lang w:eastAsia="vi-VN"/>
        </w:rPr>
      </w:pPr>
      <w:r>
        <w:rPr>
          <w:color w:val="auto"/>
          <w:sz w:val="26"/>
          <w:szCs w:val="26"/>
          <w:highlight w:val="none"/>
          <w:lang w:eastAsia="vi-VN"/>
        </w:rPr>
        <w:t>- Quan tâm đúng mức công tác chăm sóc khách hàng, nắm bắt tình hình thị trường trồng rừng, giống cây trồng …</w:t>
      </w:r>
      <w:r>
        <w:rPr>
          <w:rFonts w:hint="default"/>
          <w:color w:val="auto"/>
          <w:sz w:val="26"/>
          <w:szCs w:val="26"/>
          <w:highlight w:val="none"/>
          <w:lang w:val="en-US" w:eastAsia="vi-VN"/>
        </w:rPr>
        <w:t xml:space="preserve"> </w:t>
      </w:r>
      <w:r>
        <w:rPr>
          <w:color w:val="auto"/>
          <w:sz w:val="26"/>
          <w:szCs w:val="26"/>
          <w:highlight w:val="none"/>
          <w:lang w:eastAsia="vi-VN"/>
        </w:rPr>
        <w:t>để có thông tin kịp thời các diễn biến liên quan đến sản xuất kinh doanh cây giống, rừng trồng nhằm có giải pháp kịp thời, duy trì và phát triển chất lượng cây giống của Công ty, đáp ứng nhu cầu của thị trường.</w:t>
      </w:r>
    </w:p>
    <w:p>
      <w:pPr>
        <w:spacing w:after="0" w:line="240" w:lineRule="auto"/>
        <w:ind w:firstLine="478" w:firstLineChars="184"/>
        <w:jc w:val="both"/>
        <w:rPr>
          <w:bCs/>
          <w:iCs/>
          <w:color w:val="auto"/>
          <w:sz w:val="26"/>
          <w:szCs w:val="26"/>
          <w:highlight w:val="none"/>
        </w:rPr>
      </w:pPr>
      <w:r>
        <w:rPr>
          <w:bCs/>
          <w:iCs/>
          <w:color w:val="auto"/>
          <w:sz w:val="26"/>
          <w:szCs w:val="26"/>
          <w:highlight w:val="none"/>
        </w:rPr>
        <w:t>Qua đó năm 2020 đã thu được một số kết quả nhất định, cụ thể :</w:t>
      </w:r>
    </w:p>
    <w:p>
      <w:pPr>
        <w:numPr>
          <w:ilvl w:val="0"/>
          <w:numId w:val="3"/>
        </w:numPr>
        <w:spacing w:after="0" w:line="240" w:lineRule="auto"/>
        <w:ind w:firstLine="478" w:firstLineChars="184"/>
        <w:jc w:val="both"/>
        <w:rPr>
          <w:bCs/>
          <w:iCs/>
          <w:color w:val="auto"/>
          <w:sz w:val="26"/>
          <w:szCs w:val="26"/>
          <w:highlight w:val="none"/>
        </w:rPr>
      </w:pPr>
      <w:r>
        <w:rPr>
          <w:bCs/>
          <w:i/>
          <w:color w:val="auto"/>
          <w:sz w:val="26"/>
          <w:szCs w:val="26"/>
          <w:highlight w:val="none"/>
        </w:rPr>
        <w:t xml:space="preserve">Sản xuất cây giống : </w:t>
      </w:r>
      <w:r>
        <w:rPr>
          <w:bCs/>
          <w:iCs/>
          <w:color w:val="auto"/>
          <w:sz w:val="26"/>
          <w:szCs w:val="26"/>
          <w:highlight w:val="none"/>
        </w:rPr>
        <w:t>Tổng số cây giống tiêu thụ 19,458 triệu cây các loại, đạt 138,99 % kế hoạch.</w:t>
      </w:r>
    </w:p>
    <w:p>
      <w:pPr>
        <w:numPr>
          <w:ilvl w:val="0"/>
          <w:numId w:val="3"/>
        </w:numPr>
        <w:spacing w:after="0" w:line="240" w:lineRule="auto"/>
        <w:ind w:firstLine="478" w:firstLineChars="184"/>
        <w:jc w:val="both"/>
        <w:rPr>
          <w:bCs/>
          <w:iCs/>
          <w:color w:val="auto"/>
          <w:sz w:val="26"/>
          <w:szCs w:val="26"/>
          <w:highlight w:val="none"/>
        </w:rPr>
      </w:pPr>
      <w:r>
        <w:rPr>
          <w:bCs/>
          <w:i/>
          <w:color w:val="auto"/>
          <w:sz w:val="26"/>
          <w:szCs w:val="26"/>
          <w:highlight w:val="none"/>
        </w:rPr>
        <w:t xml:space="preserve">Thu hái và tiêu thụ hạt giống : </w:t>
      </w:r>
      <w:r>
        <w:rPr>
          <w:bCs/>
          <w:iCs/>
          <w:color w:val="auto"/>
          <w:sz w:val="26"/>
          <w:szCs w:val="26"/>
          <w:highlight w:val="none"/>
        </w:rPr>
        <w:t>1.875 kg, đạt 93,75% kế hoạch.</w:t>
      </w:r>
    </w:p>
    <w:p>
      <w:pPr>
        <w:spacing w:after="0" w:line="240" w:lineRule="auto"/>
        <w:ind w:firstLine="479" w:firstLineChars="184"/>
        <w:jc w:val="both"/>
        <w:rPr>
          <w:bCs/>
          <w:iCs/>
          <w:color w:val="auto"/>
          <w:sz w:val="26"/>
          <w:szCs w:val="26"/>
          <w:highlight w:val="none"/>
        </w:rPr>
      </w:pPr>
      <w:r>
        <w:rPr>
          <w:b/>
          <w:i/>
          <w:color w:val="auto"/>
          <w:sz w:val="26"/>
          <w:szCs w:val="26"/>
          <w:highlight w:val="none"/>
        </w:rPr>
        <w:t xml:space="preserve">2.2. Trồng rừng : </w:t>
      </w:r>
      <w:r>
        <w:rPr>
          <w:bCs/>
          <w:iCs/>
          <w:color w:val="auto"/>
          <w:sz w:val="26"/>
          <w:szCs w:val="26"/>
          <w:highlight w:val="none"/>
        </w:rPr>
        <w:t xml:space="preserve">11,09 ha/KH </w:t>
      </w:r>
      <w:r>
        <w:rPr>
          <w:rFonts w:hint="default"/>
          <w:bCs/>
          <w:iCs/>
          <w:color w:val="auto"/>
          <w:sz w:val="26"/>
          <w:szCs w:val="26"/>
          <w:highlight w:val="none"/>
          <w:lang w:val="en-US"/>
        </w:rPr>
        <w:t>40,51</w:t>
      </w:r>
      <w:r>
        <w:rPr>
          <w:bCs/>
          <w:iCs/>
          <w:color w:val="auto"/>
          <w:sz w:val="26"/>
          <w:szCs w:val="26"/>
          <w:highlight w:val="none"/>
        </w:rPr>
        <w:t xml:space="preserve"> ha, đạt </w:t>
      </w:r>
      <w:r>
        <w:rPr>
          <w:rFonts w:hint="default"/>
          <w:bCs/>
          <w:iCs/>
          <w:color w:val="auto"/>
          <w:sz w:val="26"/>
          <w:szCs w:val="26"/>
          <w:highlight w:val="none"/>
          <w:lang w:val="en-US"/>
        </w:rPr>
        <w:t>27,37</w:t>
      </w:r>
      <w:r>
        <w:rPr>
          <w:bCs/>
          <w:iCs/>
          <w:color w:val="auto"/>
          <w:sz w:val="26"/>
          <w:szCs w:val="26"/>
          <w:highlight w:val="none"/>
        </w:rPr>
        <w:t>% kế hoạch. Còn 29,42 ha rừng Long An chưa bán được nên chưa trồng lại rừng.</w:t>
      </w:r>
    </w:p>
    <w:p>
      <w:pPr>
        <w:spacing w:after="0" w:line="240" w:lineRule="auto"/>
        <w:ind w:firstLine="478" w:firstLineChars="184"/>
        <w:jc w:val="both"/>
        <w:rPr>
          <w:bCs/>
          <w:iCs/>
          <w:color w:val="auto"/>
          <w:sz w:val="26"/>
          <w:szCs w:val="26"/>
          <w:highlight w:val="none"/>
        </w:rPr>
      </w:pPr>
      <w:r>
        <w:rPr>
          <w:bCs/>
          <w:iCs/>
          <w:color w:val="auto"/>
          <w:sz w:val="26"/>
          <w:szCs w:val="26"/>
          <w:highlight w:val="none"/>
        </w:rPr>
        <w:t>Chất lượng rừng trồng : Khá tốt.</w:t>
      </w:r>
    </w:p>
    <w:p>
      <w:pPr>
        <w:spacing w:after="0" w:line="240" w:lineRule="auto"/>
        <w:ind w:firstLine="479" w:firstLineChars="184"/>
        <w:jc w:val="both"/>
        <w:rPr>
          <w:b/>
          <w:i/>
          <w:color w:val="auto"/>
          <w:sz w:val="26"/>
          <w:szCs w:val="26"/>
          <w:highlight w:val="none"/>
        </w:rPr>
      </w:pPr>
      <w:r>
        <w:rPr>
          <w:b/>
          <w:i/>
          <w:color w:val="auto"/>
          <w:sz w:val="26"/>
          <w:szCs w:val="26"/>
          <w:highlight w:val="none"/>
        </w:rPr>
        <w:t>2.3. Chăm sóc, QLBV rừng trồng :</w:t>
      </w:r>
    </w:p>
    <w:p>
      <w:pPr>
        <w:spacing w:after="0" w:line="240" w:lineRule="auto"/>
        <w:ind w:firstLine="478" w:firstLineChars="184"/>
        <w:jc w:val="both"/>
        <w:rPr>
          <w:bCs/>
          <w:iCs/>
          <w:color w:val="auto"/>
          <w:sz w:val="26"/>
          <w:szCs w:val="26"/>
          <w:highlight w:val="none"/>
        </w:rPr>
      </w:pPr>
      <w:r>
        <w:rPr>
          <w:bCs/>
          <w:iCs/>
          <w:color w:val="auto"/>
          <w:sz w:val="26"/>
          <w:szCs w:val="26"/>
          <w:highlight w:val="none"/>
        </w:rPr>
        <w:t>- Chăm sóc rừng trồng năm 2, năm 3 : 96,55 ha/KH 96,55 ha đạt 100% kế hoạch. Rừng trồng tăng trưởng tốt.</w:t>
      </w:r>
    </w:p>
    <w:p>
      <w:pPr>
        <w:spacing w:after="0" w:line="240" w:lineRule="auto"/>
        <w:ind w:firstLine="478" w:firstLineChars="184"/>
        <w:jc w:val="both"/>
        <w:rPr>
          <w:bCs/>
          <w:iCs/>
          <w:color w:val="auto"/>
          <w:sz w:val="26"/>
          <w:szCs w:val="26"/>
          <w:highlight w:val="none"/>
        </w:rPr>
      </w:pPr>
      <w:r>
        <w:rPr>
          <w:bCs/>
          <w:iCs/>
          <w:color w:val="auto"/>
          <w:sz w:val="26"/>
          <w:szCs w:val="26"/>
          <w:highlight w:val="none"/>
        </w:rPr>
        <w:t>- QLBV rừng trồng của Công ty từ năm thứ 4 trở lên : 322,16 ha/KH 292,74 ha đạt 110% kế hoạch.</w:t>
      </w:r>
    </w:p>
    <w:p>
      <w:pPr>
        <w:spacing w:after="0" w:line="240" w:lineRule="auto"/>
        <w:ind w:firstLine="478" w:firstLineChars="184"/>
        <w:jc w:val="both"/>
        <w:rPr>
          <w:bCs/>
          <w:iCs/>
          <w:color w:val="auto"/>
          <w:sz w:val="26"/>
          <w:szCs w:val="26"/>
          <w:highlight w:val="none"/>
        </w:rPr>
      </w:pPr>
      <w:r>
        <w:rPr>
          <w:bCs/>
          <w:iCs/>
          <w:color w:val="auto"/>
          <w:sz w:val="26"/>
          <w:szCs w:val="26"/>
          <w:highlight w:val="none"/>
        </w:rPr>
        <w:t>- Quản lý, bảo vệ rừng giữ hộ Nhà nước : 314,68 ha/KH 314,68 ha đạt 100% kế hoạch.</w:t>
      </w:r>
    </w:p>
    <w:p>
      <w:pPr>
        <w:spacing w:after="0" w:line="240" w:lineRule="auto"/>
        <w:ind w:firstLine="478" w:firstLineChars="184"/>
        <w:jc w:val="both"/>
        <w:rPr>
          <w:color w:val="auto"/>
          <w:sz w:val="26"/>
          <w:szCs w:val="26"/>
          <w:highlight w:val="none"/>
        </w:rPr>
      </w:pPr>
      <w:r>
        <w:rPr>
          <w:color w:val="auto"/>
          <w:sz w:val="26"/>
          <w:szCs w:val="26"/>
          <w:highlight w:val="none"/>
        </w:rPr>
        <w:t xml:space="preserve">Công tác chăm sóc, QLBV rừng được thực hiện tốt, không để xảy ra cháy rừng, chặt phá rừng và lấn chiếm đất đai. </w:t>
      </w:r>
    </w:p>
    <w:p>
      <w:pPr>
        <w:spacing w:after="0" w:line="240" w:lineRule="auto"/>
        <w:ind w:firstLine="479" w:firstLineChars="184"/>
        <w:jc w:val="both"/>
        <w:rPr>
          <w:b/>
          <w:i/>
          <w:color w:val="auto"/>
          <w:sz w:val="26"/>
          <w:szCs w:val="26"/>
          <w:highlight w:val="none"/>
        </w:rPr>
      </w:pPr>
      <w:r>
        <w:rPr>
          <w:b/>
          <w:i/>
          <w:color w:val="auto"/>
          <w:sz w:val="26"/>
          <w:szCs w:val="26"/>
          <w:highlight w:val="none"/>
        </w:rPr>
        <w:t xml:space="preserve">2.4. Khai thác rừng trồng : </w:t>
      </w:r>
    </w:p>
    <w:p>
      <w:pPr>
        <w:spacing w:after="0" w:line="240" w:lineRule="auto"/>
        <w:ind w:firstLine="478" w:firstLineChars="184"/>
        <w:jc w:val="both"/>
        <w:rPr>
          <w:color w:val="auto"/>
          <w:sz w:val="26"/>
          <w:szCs w:val="26"/>
          <w:highlight w:val="none"/>
        </w:rPr>
      </w:pPr>
      <w:r>
        <w:rPr>
          <w:color w:val="auto"/>
          <w:sz w:val="26"/>
          <w:szCs w:val="26"/>
          <w:highlight w:val="none"/>
        </w:rPr>
        <w:t xml:space="preserve">- Tổng diện tích khai thác : </w:t>
      </w:r>
      <w:r>
        <w:rPr>
          <w:bCs/>
          <w:iCs/>
          <w:color w:val="auto"/>
          <w:sz w:val="26"/>
          <w:szCs w:val="26"/>
          <w:highlight w:val="none"/>
        </w:rPr>
        <w:t xml:space="preserve">11,09 ha/KH </w:t>
      </w:r>
      <w:r>
        <w:rPr>
          <w:rFonts w:hint="default"/>
          <w:bCs/>
          <w:iCs/>
          <w:color w:val="auto"/>
          <w:sz w:val="26"/>
          <w:szCs w:val="26"/>
          <w:highlight w:val="none"/>
          <w:lang w:val="en-US"/>
        </w:rPr>
        <w:t>40,51</w:t>
      </w:r>
      <w:r>
        <w:rPr>
          <w:bCs/>
          <w:iCs/>
          <w:color w:val="auto"/>
          <w:sz w:val="26"/>
          <w:szCs w:val="26"/>
          <w:highlight w:val="none"/>
        </w:rPr>
        <w:t xml:space="preserve"> ha</w:t>
      </w:r>
      <w:r>
        <w:rPr>
          <w:color w:val="auto"/>
          <w:sz w:val="26"/>
          <w:szCs w:val="26"/>
          <w:highlight w:val="none"/>
        </w:rPr>
        <w:t xml:space="preserve"> (đạt </w:t>
      </w:r>
      <w:r>
        <w:rPr>
          <w:rFonts w:hint="default"/>
          <w:color w:val="auto"/>
          <w:sz w:val="26"/>
          <w:szCs w:val="26"/>
          <w:highlight w:val="none"/>
          <w:lang w:val="en-US"/>
        </w:rPr>
        <w:t>27,37</w:t>
      </w:r>
      <w:r>
        <w:rPr>
          <w:color w:val="auto"/>
          <w:sz w:val="26"/>
          <w:szCs w:val="26"/>
          <w:highlight w:val="none"/>
        </w:rPr>
        <w:t>% kế hoạch năm, còn 29,42 ha rừng Keo + Tràm tại Trạm Long An chuyển sang kế hoạch khai thác năm 2021) – Tổng doanh thu 4.254 triệu đồng (đạt 85,09% kế hoạch). Việc khai thác đã thực hiện tuân thủ đúng các quy định hiện hành, giá bán cao đem lại hiệu quả kinh tế lớn.</w:t>
      </w:r>
    </w:p>
    <w:p>
      <w:pPr>
        <w:spacing w:after="0" w:line="240" w:lineRule="auto"/>
        <w:ind w:firstLine="478" w:firstLineChars="184"/>
        <w:jc w:val="both"/>
        <w:rPr>
          <w:color w:val="auto"/>
          <w:sz w:val="26"/>
          <w:szCs w:val="26"/>
          <w:highlight w:val="none"/>
        </w:rPr>
      </w:pPr>
      <w:r>
        <w:rPr>
          <w:color w:val="auto"/>
          <w:sz w:val="26"/>
          <w:szCs w:val="26"/>
          <w:highlight w:val="none"/>
        </w:rPr>
        <w:t>- Khai thác tận thu gỗ Sao, Dầu ngã đổ tại Trạm La Ngà: 158,06 triệu đồng.</w:t>
      </w:r>
    </w:p>
    <w:p>
      <w:pPr>
        <w:spacing w:after="0" w:line="240" w:lineRule="auto"/>
        <w:ind w:firstLine="478" w:firstLineChars="184"/>
        <w:jc w:val="both"/>
        <w:rPr>
          <w:color w:val="auto"/>
          <w:sz w:val="26"/>
          <w:szCs w:val="26"/>
          <w:highlight w:val="none"/>
        </w:rPr>
      </w:pPr>
      <w:r>
        <w:rPr>
          <w:color w:val="auto"/>
          <w:sz w:val="26"/>
          <w:szCs w:val="26"/>
          <w:highlight w:val="none"/>
        </w:rPr>
        <w:t>- Khai thác tận thu gỗ Giá tỵ ngã đổ tại Trạm La Ngà: 4.640 triệu đồng.</w:t>
      </w:r>
    </w:p>
    <w:p>
      <w:pPr>
        <w:numPr>
          <w:ilvl w:val="0"/>
          <w:numId w:val="4"/>
        </w:numPr>
        <w:spacing w:after="0" w:line="240" w:lineRule="auto"/>
        <w:ind w:firstLine="479" w:firstLineChars="184"/>
        <w:jc w:val="both"/>
        <w:rPr>
          <w:b/>
          <w:bCs/>
          <w:color w:val="auto"/>
          <w:sz w:val="26"/>
          <w:szCs w:val="26"/>
          <w:highlight w:val="none"/>
        </w:rPr>
      </w:pPr>
      <w:r>
        <w:rPr>
          <w:b/>
          <w:bCs/>
          <w:color w:val="auto"/>
          <w:sz w:val="26"/>
          <w:szCs w:val="26"/>
          <w:highlight w:val="none"/>
        </w:rPr>
        <w:t>Công tác quản lý đất đai, vốn và tài sản :</w:t>
      </w:r>
    </w:p>
    <w:p>
      <w:pPr>
        <w:spacing w:after="0" w:line="240" w:lineRule="auto"/>
        <w:ind w:left="442" w:leftChars="184"/>
        <w:jc w:val="both"/>
        <w:rPr>
          <w:b/>
          <w:bCs/>
          <w:i/>
          <w:iCs/>
          <w:color w:val="auto"/>
          <w:sz w:val="26"/>
          <w:szCs w:val="26"/>
          <w:highlight w:val="none"/>
        </w:rPr>
      </w:pPr>
      <w:r>
        <w:rPr>
          <w:b/>
          <w:bCs/>
          <w:i/>
          <w:iCs/>
          <w:color w:val="auto"/>
          <w:sz w:val="26"/>
          <w:szCs w:val="26"/>
          <w:highlight w:val="none"/>
        </w:rPr>
        <w:t>3.1. Quản lý đất đai :</w:t>
      </w:r>
    </w:p>
    <w:p>
      <w:pPr>
        <w:spacing w:after="0" w:line="240" w:lineRule="auto"/>
        <w:ind w:firstLine="478" w:firstLineChars="184"/>
        <w:jc w:val="both"/>
        <w:rPr>
          <w:i/>
          <w:iCs/>
          <w:color w:val="auto"/>
          <w:sz w:val="26"/>
          <w:szCs w:val="26"/>
          <w:highlight w:val="none"/>
        </w:rPr>
      </w:pPr>
      <w:r>
        <w:rPr>
          <w:i/>
          <w:iCs/>
          <w:color w:val="auto"/>
          <w:sz w:val="26"/>
          <w:szCs w:val="26"/>
          <w:highlight w:val="none"/>
        </w:rPr>
        <w:t xml:space="preserve">-  Xin cấp giấy CNQSDĐ và kí hợp đồng thuê đất : </w:t>
      </w:r>
    </w:p>
    <w:p>
      <w:pPr>
        <w:tabs>
          <w:tab w:val="left" w:pos="851"/>
        </w:tabs>
        <w:spacing w:after="0" w:line="240" w:lineRule="auto"/>
        <w:ind w:firstLine="567"/>
        <w:jc w:val="both"/>
        <w:rPr>
          <w:color w:val="auto"/>
          <w:sz w:val="26"/>
          <w:szCs w:val="26"/>
          <w:highlight w:val="none"/>
          <w:lang w:eastAsia="vi-VN"/>
        </w:rPr>
      </w:pPr>
      <w:r>
        <w:rPr>
          <w:color w:val="auto"/>
          <w:sz w:val="26"/>
          <w:szCs w:val="26"/>
          <w:highlight w:val="none"/>
          <w:lang w:eastAsia="vi-VN"/>
        </w:rPr>
        <w:t>+ Hồ sơ xin cấp GCNQSDĐ và kí hợp đồng thuê đất tại Trạm giống Lâm nghiệp Long An dù trình đã lâu và liên hệ nhiều lần nhưng vẫn chưa được giải quyết với lý do Sở TN_MT tỉnh Long An nêu là đang chờ kết quả kiểm tra, đề xuất của Bộ NNPTNT và TNMT theo ý kiến chỉ đạo thực hiện của Bộ trưởng Bộ NN-PTNT.</w:t>
      </w:r>
    </w:p>
    <w:p>
      <w:pPr>
        <w:tabs>
          <w:tab w:val="left" w:pos="851"/>
        </w:tabs>
        <w:spacing w:after="0" w:line="240" w:lineRule="auto"/>
        <w:ind w:firstLine="567"/>
        <w:jc w:val="both"/>
        <w:rPr>
          <w:color w:val="auto"/>
          <w:sz w:val="26"/>
          <w:szCs w:val="26"/>
          <w:highlight w:val="none"/>
          <w:lang w:eastAsia="vi-VN"/>
        </w:rPr>
      </w:pPr>
      <w:r>
        <w:rPr>
          <w:color w:val="auto"/>
          <w:sz w:val="26"/>
          <w:szCs w:val="26"/>
          <w:highlight w:val="none"/>
          <w:lang w:eastAsia="vi-VN"/>
        </w:rPr>
        <w:t>+ Hồ sơ xin thuê đất tại Trạm giống Lâm nghiệp Sông Bé (tỉnh Bình Phước), đã hoàn thành thủ tục thanh lý hợp đồng nhận khoán cũ trước đây để thuê đất. Tuy nhiên, đang phải giải trình bổ sung việc giảm diện tích 10 ha so với hợp đồng khoán trước đây còn phải mất nhiều thời gian kiểm tra, xác minh.</w:t>
      </w:r>
    </w:p>
    <w:p>
      <w:pPr>
        <w:tabs>
          <w:tab w:val="left" w:pos="851"/>
        </w:tabs>
        <w:spacing w:after="0" w:line="240" w:lineRule="auto"/>
        <w:ind w:firstLine="567"/>
        <w:jc w:val="both"/>
        <w:rPr>
          <w:color w:val="auto"/>
          <w:sz w:val="26"/>
          <w:szCs w:val="26"/>
          <w:highlight w:val="none"/>
          <w:lang w:eastAsia="vi-VN"/>
        </w:rPr>
      </w:pPr>
      <w:r>
        <w:rPr>
          <w:color w:val="auto"/>
          <w:sz w:val="26"/>
          <w:szCs w:val="26"/>
          <w:highlight w:val="none"/>
          <w:lang w:eastAsia="vi-VN"/>
        </w:rPr>
        <w:t>+ Hồ sơ xin thuê đất tại Trạm giống Lâm nghiệp La Ngà (tỉnh Đồng Nai) : Đã thuê tư vấn đo đạc, cắm mốc để xin cấp giấy CNQSDĐ và kí hợp đồng thuê đất, đơn vị tư vấn đang hoàn thiện hồ sơ.</w:t>
      </w:r>
    </w:p>
    <w:p>
      <w:pPr>
        <w:spacing w:after="0" w:line="240" w:lineRule="auto"/>
        <w:ind w:firstLine="478" w:firstLineChars="184"/>
        <w:jc w:val="both"/>
        <w:rPr>
          <w:i/>
          <w:iCs/>
          <w:color w:val="auto"/>
          <w:sz w:val="26"/>
          <w:szCs w:val="26"/>
          <w:highlight w:val="none"/>
        </w:rPr>
      </w:pPr>
      <w:r>
        <w:rPr>
          <w:i/>
          <w:iCs/>
          <w:color w:val="auto"/>
          <w:sz w:val="26"/>
          <w:szCs w:val="26"/>
          <w:highlight w:val="none"/>
        </w:rPr>
        <w:t>- Xin nhận khoán rừng giữ hộ Nhà nước :</w:t>
      </w:r>
    </w:p>
    <w:p>
      <w:pPr>
        <w:spacing w:after="0" w:line="240" w:lineRule="auto"/>
        <w:ind w:firstLine="478" w:firstLineChars="184"/>
        <w:jc w:val="both"/>
        <w:rPr>
          <w:color w:val="auto"/>
          <w:sz w:val="26"/>
          <w:szCs w:val="26"/>
          <w:highlight w:val="none"/>
        </w:rPr>
      </w:pPr>
      <w:r>
        <w:rPr>
          <w:color w:val="auto"/>
          <w:sz w:val="26"/>
          <w:szCs w:val="26"/>
          <w:highlight w:val="none"/>
        </w:rPr>
        <w:t>+ 127,1 ha tại Trạm Long An : Chưa thực hiện được vì tỉnh đề nghị thu hồi làm dự án điện gió.</w:t>
      </w:r>
    </w:p>
    <w:p>
      <w:pPr>
        <w:spacing w:after="0" w:line="240" w:lineRule="auto"/>
        <w:ind w:firstLine="478" w:firstLineChars="184"/>
        <w:jc w:val="both"/>
        <w:rPr>
          <w:rFonts w:hint="default"/>
          <w:color w:val="auto"/>
          <w:sz w:val="26"/>
          <w:szCs w:val="26"/>
          <w:highlight w:val="none"/>
          <w:lang w:val="en-US"/>
        </w:rPr>
      </w:pPr>
      <w:r>
        <w:rPr>
          <w:color w:val="auto"/>
          <w:sz w:val="26"/>
          <w:szCs w:val="26"/>
          <w:highlight w:val="none"/>
        </w:rPr>
        <w:t>+ 166 ha tại Trạm La Ngà : Công ty đã hợp đồng với Trung tâm Kỹ thuật địa chính tiến hành đo đạc, biên vẽ bản đồ, lập hồ sơ.</w:t>
      </w:r>
      <w:r>
        <w:rPr>
          <w:rFonts w:hint="default"/>
          <w:color w:val="auto"/>
          <w:sz w:val="26"/>
          <w:szCs w:val="26"/>
          <w:highlight w:val="none"/>
          <w:lang w:val="en-US"/>
        </w:rPr>
        <w:t xml:space="preserve"> Phía Trung tâm đang hoàn thiện bản đồ.</w:t>
      </w:r>
    </w:p>
    <w:p>
      <w:pPr>
        <w:spacing w:after="0" w:line="240" w:lineRule="auto"/>
        <w:ind w:firstLine="478" w:firstLineChars="184"/>
        <w:jc w:val="both"/>
        <w:rPr>
          <w:color w:val="auto"/>
          <w:sz w:val="26"/>
          <w:szCs w:val="26"/>
          <w:highlight w:val="none"/>
        </w:rPr>
      </w:pPr>
      <w:r>
        <w:rPr>
          <w:color w:val="auto"/>
          <w:sz w:val="26"/>
          <w:szCs w:val="26"/>
          <w:highlight w:val="none"/>
        </w:rPr>
        <w:t>+ 21,58 ha tại Trạm Sông Bé : Đã đưa vào phương án sử dụng đất xin cấp giấy CNQSDĐ.</w:t>
      </w:r>
    </w:p>
    <w:p>
      <w:pPr>
        <w:spacing w:after="0" w:line="240" w:lineRule="auto"/>
        <w:ind w:firstLine="479" w:firstLineChars="184"/>
        <w:jc w:val="both"/>
        <w:rPr>
          <w:b/>
          <w:bCs/>
          <w:i/>
          <w:iCs/>
          <w:color w:val="auto"/>
          <w:sz w:val="26"/>
          <w:szCs w:val="26"/>
          <w:highlight w:val="none"/>
        </w:rPr>
      </w:pPr>
      <w:r>
        <w:rPr>
          <w:b/>
          <w:bCs/>
          <w:i/>
          <w:iCs/>
          <w:color w:val="auto"/>
          <w:sz w:val="26"/>
          <w:szCs w:val="26"/>
          <w:highlight w:val="none"/>
        </w:rPr>
        <w:t>3.2. Quản lý vốn và tài sản :</w:t>
      </w:r>
    </w:p>
    <w:p>
      <w:pPr>
        <w:spacing w:after="0" w:line="240" w:lineRule="auto"/>
        <w:ind w:firstLine="444" w:firstLineChars="171"/>
        <w:jc w:val="both"/>
        <w:rPr>
          <w:color w:val="auto"/>
          <w:sz w:val="26"/>
          <w:szCs w:val="26"/>
          <w:highlight w:val="none"/>
          <w:lang w:val="fr-FR"/>
        </w:rPr>
      </w:pPr>
      <w:r>
        <w:rPr>
          <w:color w:val="auto"/>
          <w:sz w:val="26"/>
          <w:szCs w:val="26"/>
          <w:highlight w:val="none"/>
          <w:lang w:val="fr-FR"/>
        </w:rPr>
        <w:t>- Thực hiện đúng chế độ kế toán theo quy định của pháp luật</w:t>
      </w:r>
      <w:r>
        <w:rPr>
          <w:color w:val="auto"/>
          <w:sz w:val="26"/>
          <w:szCs w:val="26"/>
          <w:highlight w:val="none"/>
        </w:rPr>
        <w:t xml:space="preserve"> từ </w:t>
      </w:r>
      <w:r>
        <w:rPr>
          <w:color w:val="auto"/>
          <w:sz w:val="26"/>
          <w:szCs w:val="26"/>
          <w:highlight w:val="none"/>
          <w:lang w:val="fr-FR"/>
        </w:rPr>
        <w:t>quản lý, sử dụng vốn, tài sản, phân phối lợi nhuận, trích lập sử dụng các quỹ</w:t>
      </w:r>
      <w:r>
        <w:rPr>
          <w:color w:val="auto"/>
          <w:sz w:val="26"/>
          <w:szCs w:val="26"/>
          <w:highlight w:val="none"/>
        </w:rPr>
        <w:t>, quản lý nợ phải thu phải trả, kiểm kê định kỳ, khấu hao tài sản, quản lý hàng tồn kho</w:t>
      </w:r>
      <w:r>
        <w:rPr>
          <w:color w:val="auto"/>
          <w:sz w:val="26"/>
          <w:szCs w:val="26"/>
          <w:highlight w:val="none"/>
          <w:lang w:val="fr-FR"/>
        </w:rPr>
        <w:t>.</w:t>
      </w:r>
    </w:p>
    <w:p>
      <w:pPr>
        <w:spacing w:after="0" w:line="240" w:lineRule="auto"/>
        <w:ind w:firstLine="444" w:firstLineChars="171"/>
        <w:jc w:val="both"/>
        <w:rPr>
          <w:color w:val="auto"/>
          <w:sz w:val="26"/>
          <w:szCs w:val="26"/>
          <w:highlight w:val="none"/>
        </w:rPr>
      </w:pPr>
      <w:r>
        <w:rPr>
          <w:color w:val="auto"/>
          <w:sz w:val="26"/>
          <w:szCs w:val="26"/>
          <w:highlight w:val="none"/>
          <w:lang w:val="fr-FR"/>
        </w:rPr>
        <w:t>- Quản lý doanh thu </w:t>
      </w:r>
      <w:r>
        <w:rPr>
          <w:color w:val="auto"/>
          <w:sz w:val="26"/>
          <w:szCs w:val="26"/>
          <w:highlight w:val="none"/>
        </w:rPr>
        <w:t xml:space="preserve">và thu nhập khác </w:t>
      </w:r>
      <w:r>
        <w:rPr>
          <w:color w:val="auto"/>
          <w:sz w:val="26"/>
          <w:szCs w:val="26"/>
          <w:highlight w:val="none"/>
          <w:lang w:val="fr-FR"/>
        </w:rPr>
        <w:t>: Quản lý chặt chẽ, hạch toán đầy đủ, chính xác. Trong năm 20</w:t>
      </w:r>
      <w:r>
        <w:rPr>
          <w:color w:val="auto"/>
          <w:sz w:val="26"/>
          <w:szCs w:val="26"/>
          <w:highlight w:val="none"/>
        </w:rPr>
        <w:t>20</w:t>
      </w:r>
      <w:r>
        <w:rPr>
          <w:color w:val="auto"/>
          <w:sz w:val="26"/>
          <w:szCs w:val="26"/>
          <w:highlight w:val="none"/>
          <w:lang w:val="fr-FR"/>
        </w:rPr>
        <w:t xml:space="preserve"> doanh thu </w:t>
      </w:r>
      <w:r>
        <w:rPr>
          <w:color w:val="auto"/>
          <w:sz w:val="26"/>
          <w:szCs w:val="26"/>
          <w:highlight w:val="none"/>
        </w:rPr>
        <w:t>và thu nhập khác 31.471</w:t>
      </w:r>
      <w:r>
        <w:rPr>
          <w:color w:val="auto"/>
          <w:sz w:val="26"/>
          <w:szCs w:val="26"/>
          <w:highlight w:val="none"/>
          <w:lang w:val="fr-FR"/>
        </w:rPr>
        <w:t xml:space="preserve"> triệu đồng</w:t>
      </w:r>
      <w:r>
        <w:rPr>
          <w:color w:val="auto"/>
          <w:sz w:val="26"/>
          <w:szCs w:val="26"/>
          <w:highlight w:val="none"/>
        </w:rPr>
        <w:t>.</w:t>
      </w:r>
    </w:p>
    <w:p>
      <w:pPr>
        <w:spacing w:after="0" w:line="240" w:lineRule="auto"/>
        <w:ind w:firstLine="444" w:firstLineChars="171"/>
        <w:jc w:val="both"/>
        <w:rPr>
          <w:color w:val="auto"/>
          <w:sz w:val="26"/>
          <w:szCs w:val="26"/>
          <w:highlight w:val="none"/>
          <w:lang w:val="fr-FR"/>
        </w:rPr>
      </w:pPr>
      <w:r>
        <w:rPr>
          <w:color w:val="auto"/>
          <w:sz w:val="26"/>
          <w:szCs w:val="26"/>
          <w:highlight w:val="none"/>
          <w:lang w:val="fr-FR"/>
        </w:rPr>
        <w:t>- Quản lý chặt chẽ các khoản chi phí để giảm chi phí, hạ giá thành sản phẩm, tăng lợi nhuận. Chi phí SXKD năm 20</w:t>
      </w:r>
      <w:r>
        <w:rPr>
          <w:color w:val="auto"/>
          <w:sz w:val="26"/>
          <w:szCs w:val="26"/>
          <w:highlight w:val="none"/>
        </w:rPr>
        <w:t>20</w:t>
      </w:r>
      <w:r>
        <w:rPr>
          <w:color w:val="auto"/>
          <w:sz w:val="26"/>
          <w:szCs w:val="26"/>
          <w:highlight w:val="none"/>
          <w:lang w:val="fr-FR"/>
        </w:rPr>
        <w:t xml:space="preserve"> là</w:t>
      </w:r>
      <w:r>
        <w:rPr>
          <w:color w:val="auto"/>
          <w:sz w:val="26"/>
          <w:szCs w:val="26"/>
          <w:highlight w:val="none"/>
        </w:rPr>
        <w:t xml:space="preserve">: 26.072 </w:t>
      </w:r>
      <w:r>
        <w:rPr>
          <w:color w:val="auto"/>
          <w:sz w:val="26"/>
          <w:szCs w:val="26"/>
          <w:highlight w:val="none"/>
          <w:lang w:val="fr-FR"/>
        </w:rPr>
        <w:t>triệu đồng</w:t>
      </w:r>
      <w:r>
        <w:rPr>
          <w:color w:val="auto"/>
          <w:sz w:val="26"/>
          <w:szCs w:val="26"/>
          <w:highlight w:val="none"/>
        </w:rPr>
        <w:t>.</w:t>
      </w:r>
    </w:p>
    <w:p>
      <w:pPr>
        <w:numPr>
          <w:ilvl w:val="0"/>
          <w:numId w:val="5"/>
        </w:numPr>
        <w:spacing w:after="0" w:line="240" w:lineRule="auto"/>
        <w:ind w:firstLine="479" w:firstLineChars="184"/>
        <w:jc w:val="both"/>
        <w:rPr>
          <w:b/>
          <w:bCs/>
          <w:color w:val="auto"/>
          <w:sz w:val="26"/>
          <w:szCs w:val="26"/>
          <w:highlight w:val="none"/>
        </w:rPr>
      </w:pPr>
      <w:r>
        <w:rPr>
          <w:b/>
          <w:bCs/>
          <w:color w:val="auto"/>
          <w:sz w:val="26"/>
          <w:szCs w:val="26"/>
          <w:highlight w:val="none"/>
        </w:rPr>
        <w:t>Về thực hiện chế độ chính sách đối với người lao động, chi trả cổ tức của cổ đông:</w:t>
      </w:r>
    </w:p>
    <w:p>
      <w:pPr>
        <w:spacing w:after="0" w:line="240" w:lineRule="auto"/>
        <w:ind w:firstLine="478" w:firstLineChars="184"/>
        <w:jc w:val="both"/>
        <w:rPr>
          <w:color w:val="auto"/>
          <w:highlight w:val="none"/>
        </w:rPr>
      </w:pPr>
      <w:r>
        <w:rPr>
          <w:color w:val="auto"/>
          <w:sz w:val="26"/>
          <w:szCs w:val="26"/>
          <w:highlight w:val="none"/>
        </w:rPr>
        <w:t xml:space="preserve">- Công ty thực hiện </w:t>
      </w:r>
      <w:r>
        <w:rPr>
          <w:color w:val="auto"/>
          <w:sz w:val="26"/>
          <w:szCs w:val="26"/>
          <w:highlight w:val="none"/>
          <w:lang w:val="vi-VN"/>
        </w:rPr>
        <w:t xml:space="preserve">thanh toán tiền lương, trích nộp BHYT, BHTN, BHXH cho người lao động đầy đủ </w:t>
      </w:r>
      <w:r>
        <w:rPr>
          <w:color w:val="auto"/>
          <w:sz w:val="26"/>
          <w:szCs w:val="26"/>
          <w:highlight w:val="none"/>
        </w:rPr>
        <w:t xml:space="preserve">và đúng thời gian, </w:t>
      </w:r>
      <w:r>
        <w:rPr>
          <w:color w:val="auto"/>
          <w:sz w:val="26"/>
          <w:szCs w:val="26"/>
          <w:highlight w:val="none"/>
          <w:lang w:val="vi-VN"/>
        </w:rPr>
        <w:t>không để xảy ra tình trạng nợ lương, nợ đọng BHXH, BHYT, BHTN</w:t>
      </w:r>
      <w:r>
        <w:rPr>
          <w:color w:val="auto"/>
          <w:sz w:val="26"/>
          <w:szCs w:val="26"/>
          <w:highlight w:val="none"/>
        </w:rPr>
        <w:t>.</w:t>
      </w:r>
    </w:p>
    <w:p>
      <w:pPr>
        <w:spacing w:after="0" w:line="240" w:lineRule="auto"/>
        <w:ind w:firstLine="478" w:firstLineChars="184"/>
        <w:jc w:val="both"/>
        <w:rPr>
          <w:color w:val="auto"/>
          <w:sz w:val="26"/>
          <w:szCs w:val="26"/>
          <w:highlight w:val="none"/>
          <w:lang w:val="vi-VN"/>
        </w:rPr>
      </w:pPr>
      <w:r>
        <w:rPr>
          <w:color w:val="auto"/>
          <w:sz w:val="26"/>
          <w:szCs w:val="26"/>
          <w:highlight w:val="none"/>
        </w:rPr>
        <w:t xml:space="preserve">- Thực hiện đầy đủ các quy định về ATVSLĐ </w:t>
      </w:r>
      <w:r>
        <w:rPr>
          <w:color w:val="auto"/>
          <w:sz w:val="26"/>
          <w:szCs w:val="26"/>
          <w:highlight w:val="none"/>
          <w:lang w:val="vi-VN"/>
        </w:rPr>
        <w:t>cũng như việc thanh toán các chế độ ốm đau</w:t>
      </w:r>
      <w:r>
        <w:rPr>
          <w:color w:val="auto"/>
          <w:sz w:val="26"/>
          <w:szCs w:val="26"/>
          <w:highlight w:val="none"/>
        </w:rPr>
        <w:t>, thai sản</w:t>
      </w:r>
      <w:r>
        <w:rPr>
          <w:color w:val="auto"/>
          <w:sz w:val="26"/>
          <w:szCs w:val="26"/>
          <w:highlight w:val="none"/>
          <w:lang w:val="vi-VN"/>
        </w:rPr>
        <w:t>. Trong năm không để xảy ra vụ tai nạn lao động nào.</w:t>
      </w:r>
    </w:p>
    <w:p>
      <w:pPr>
        <w:spacing w:after="0" w:line="240" w:lineRule="auto"/>
        <w:ind w:firstLine="478" w:firstLineChars="184"/>
        <w:jc w:val="both"/>
        <w:rPr>
          <w:color w:val="auto"/>
          <w:sz w:val="26"/>
          <w:szCs w:val="26"/>
          <w:highlight w:val="none"/>
          <w:lang w:val="vi-VN"/>
        </w:rPr>
      </w:pPr>
      <w:r>
        <w:rPr>
          <w:color w:val="auto"/>
          <w:sz w:val="26"/>
          <w:szCs w:val="26"/>
          <w:highlight w:val="none"/>
          <w:lang w:val="vi-VN"/>
        </w:rPr>
        <w:t xml:space="preserve">- Các chế độ khác theo quy định </w:t>
      </w:r>
      <w:r>
        <w:rPr>
          <w:color w:val="auto"/>
          <w:sz w:val="26"/>
          <w:szCs w:val="26"/>
          <w:highlight w:val="none"/>
        </w:rPr>
        <w:t xml:space="preserve">của pháp luật </w:t>
      </w:r>
      <w:r>
        <w:rPr>
          <w:color w:val="auto"/>
          <w:sz w:val="26"/>
          <w:szCs w:val="26"/>
          <w:highlight w:val="none"/>
          <w:lang w:val="vi-VN"/>
        </w:rPr>
        <w:t>hoặc theo thỏa ước lao động tập thể đều được thực hiện đầy đủ.</w:t>
      </w:r>
    </w:p>
    <w:p>
      <w:pPr>
        <w:spacing w:after="0" w:line="240" w:lineRule="auto"/>
        <w:ind w:firstLine="478" w:firstLineChars="184"/>
        <w:jc w:val="both"/>
        <w:rPr>
          <w:color w:val="auto"/>
          <w:sz w:val="26"/>
          <w:szCs w:val="26"/>
          <w:highlight w:val="none"/>
        </w:rPr>
      </w:pPr>
      <w:r>
        <w:rPr>
          <w:color w:val="auto"/>
          <w:sz w:val="26"/>
          <w:szCs w:val="26"/>
          <w:highlight w:val="none"/>
        </w:rPr>
        <w:t>- Chi trả cổ tức, kịp thời, đầy đủ theo Nghị quyết của Đại hội đồng cổ đông năm 2020.</w:t>
      </w:r>
    </w:p>
    <w:p>
      <w:pPr>
        <w:spacing w:after="0" w:line="240" w:lineRule="auto"/>
        <w:ind w:left="442" w:leftChars="184"/>
        <w:jc w:val="both"/>
        <w:rPr>
          <w:b/>
          <w:bCs/>
          <w:color w:val="auto"/>
          <w:sz w:val="26"/>
          <w:szCs w:val="26"/>
          <w:highlight w:val="none"/>
        </w:rPr>
      </w:pPr>
      <w:r>
        <w:rPr>
          <w:b/>
          <w:bCs/>
          <w:color w:val="auto"/>
          <w:sz w:val="26"/>
          <w:szCs w:val="26"/>
          <w:highlight w:val="none"/>
        </w:rPr>
        <w:t>5. Một số công tác khác :</w:t>
      </w:r>
    </w:p>
    <w:p>
      <w:pPr>
        <w:spacing w:after="0" w:line="240" w:lineRule="auto"/>
        <w:ind w:firstLine="445" w:firstLineChars="171"/>
        <w:jc w:val="both"/>
        <w:rPr>
          <w:b/>
          <w:bCs/>
          <w:i/>
          <w:iCs/>
          <w:color w:val="auto"/>
          <w:sz w:val="26"/>
          <w:szCs w:val="26"/>
          <w:highlight w:val="none"/>
        </w:rPr>
      </w:pPr>
      <w:r>
        <w:rPr>
          <w:b/>
          <w:bCs/>
          <w:i/>
          <w:iCs/>
          <w:color w:val="auto"/>
          <w:sz w:val="26"/>
          <w:szCs w:val="26"/>
          <w:highlight w:val="none"/>
        </w:rPr>
        <w:t>5.1. Rà soát, xây dựng hoặc sửa đổi, bổ sung để ban hành các Quy chế - Quy định quản lý nội bộ :</w:t>
      </w:r>
    </w:p>
    <w:p>
      <w:pPr>
        <w:spacing w:after="0" w:line="240" w:lineRule="auto"/>
        <w:ind w:firstLine="444" w:firstLineChars="171"/>
        <w:jc w:val="both"/>
        <w:rPr>
          <w:rFonts w:hint="default"/>
          <w:color w:val="auto"/>
          <w:sz w:val="26"/>
          <w:szCs w:val="26"/>
          <w:highlight w:val="none"/>
          <w:lang w:val="en-US"/>
        </w:rPr>
      </w:pPr>
      <w:r>
        <w:rPr>
          <w:color w:val="auto"/>
          <w:sz w:val="26"/>
          <w:szCs w:val="26"/>
          <w:highlight w:val="none"/>
        </w:rPr>
        <w:t xml:space="preserve">Năm 2020 </w:t>
      </w:r>
      <w:r>
        <w:rPr>
          <w:rFonts w:hint="default"/>
          <w:color w:val="auto"/>
          <w:sz w:val="26"/>
          <w:szCs w:val="26"/>
          <w:highlight w:val="none"/>
          <w:lang w:val="en-US"/>
        </w:rPr>
        <w:t xml:space="preserve">Công ty tiếp tục thực hiện theo đúng các Quy chế - Quy định quản lý nội bộ đã ban hành. </w:t>
      </w:r>
    </w:p>
    <w:p>
      <w:pPr>
        <w:spacing w:after="0" w:line="240" w:lineRule="auto"/>
        <w:ind w:firstLine="444" w:firstLineChars="171"/>
        <w:jc w:val="both"/>
        <w:rPr>
          <w:rFonts w:hint="default"/>
          <w:color w:val="auto"/>
          <w:sz w:val="26"/>
          <w:szCs w:val="26"/>
          <w:highlight w:val="none"/>
          <w:lang w:val="en-US"/>
        </w:rPr>
      </w:pPr>
    </w:p>
    <w:p>
      <w:pPr>
        <w:spacing w:after="0" w:line="240" w:lineRule="auto"/>
        <w:ind w:firstLine="444" w:firstLineChars="171"/>
        <w:jc w:val="both"/>
        <w:rPr>
          <w:rFonts w:hint="default"/>
          <w:color w:val="auto"/>
          <w:sz w:val="26"/>
          <w:szCs w:val="26"/>
          <w:highlight w:val="none"/>
          <w:lang w:val="en-US"/>
        </w:rPr>
      </w:pPr>
    </w:p>
    <w:p>
      <w:pPr>
        <w:spacing w:after="0" w:line="240" w:lineRule="auto"/>
        <w:ind w:left="442" w:leftChars="184"/>
        <w:jc w:val="both"/>
        <w:rPr>
          <w:b/>
          <w:bCs/>
          <w:i/>
          <w:iCs/>
          <w:color w:val="auto"/>
          <w:sz w:val="26"/>
          <w:szCs w:val="26"/>
          <w:highlight w:val="none"/>
        </w:rPr>
      </w:pPr>
      <w:r>
        <w:rPr>
          <w:b/>
          <w:bCs/>
          <w:i/>
          <w:iCs/>
          <w:color w:val="auto"/>
          <w:sz w:val="26"/>
          <w:szCs w:val="26"/>
          <w:highlight w:val="none"/>
          <w:lang w:val="vi-VN"/>
        </w:rPr>
        <w:t>5.</w:t>
      </w:r>
      <w:r>
        <w:rPr>
          <w:b/>
          <w:bCs/>
          <w:i/>
          <w:iCs/>
          <w:color w:val="auto"/>
          <w:sz w:val="26"/>
          <w:szCs w:val="26"/>
          <w:highlight w:val="none"/>
        </w:rPr>
        <w:t>2</w:t>
      </w:r>
      <w:r>
        <w:rPr>
          <w:b/>
          <w:bCs/>
          <w:i/>
          <w:iCs/>
          <w:color w:val="auto"/>
          <w:sz w:val="26"/>
          <w:szCs w:val="26"/>
          <w:highlight w:val="none"/>
          <w:lang w:val="vi-VN"/>
        </w:rPr>
        <w:t>. Công tác tổ chức – cán bộ</w:t>
      </w:r>
      <w:r>
        <w:rPr>
          <w:b/>
          <w:bCs/>
          <w:i/>
          <w:iCs/>
          <w:color w:val="auto"/>
          <w:sz w:val="26"/>
          <w:szCs w:val="26"/>
          <w:highlight w:val="none"/>
        </w:rPr>
        <w:t>:</w:t>
      </w:r>
    </w:p>
    <w:p>
      <w:pPr>
        <w:spacing w:after="0" w:line="240" w:lineRule="auto"/>
        <w:ind w:firstLine="478" w:firstLineChars="184"/>
        <w:jc w:val="both"/>
        <w:rPr>
          <w:color w:val="auto"/>
          <w:sz w:val="26"/>
          <w:szCs w:val="26"/>
          <w:highlight w:val="none"/>
        </w:rPr>
      </w:pPr>
      <w:r>
        <w:rPr>
          <w:color w:val="auto"/>
          <w:sz w:val="26"/>
          <w:szCs w:val="26"/>
          <w:highlight w:val="none"/>
          <w:lang w:val="vi-VN"/>
        </w:rPr>
        <w:t>Năm 20</w:t>
      </w:r>
      <w:r>
        <w:rPr>
          <w:color w:val="auto"/>
          <w:sz w:val="26"/>
          <w:szCs w:val="26"/>
          <w:highlight w:val="none"/>
        </w:rPr>
        <w:t>20</w:t>
      </w:r>
      <w:r>
        <w:rPr>
          <w:color w:val="auto"/>
          <w:sz w:val="26"/>
          <w:szCs w:val="26"/>
          <w:highlight w:val="none"/>
          <w:lang w:val="vi-VN"/>
        </w:rPr>
        <w:t xml:space="preserve">, </w:t>
      </w:r>
      <w:r>
        <w:rPr>
          <w:color w:val="auto"/>
          <w:sz w:val="26"/>
          <w:szCs w:val="26"/>
          <w:highlight w:val="none"/>
        </w:rPr>
        <w:t>về tổ chức bộ máy Công ty cơ bản vẫn giữ nguyên như năm trước, chỉ có một số điều chỉnh phân công nhiệm vụ lại cho cán bộ hoặc các tổ sản xuất cụ thể hơn tại Trạm giống Long Thành và Bình Sơn. Việc thực hiện công tác tổ chức cán bộ đều đúng trình tự, thủ tục và thẩm quyền theo quy định.</w:t>
      </w:r>
    </w:p>
    <w:p>
      <w:pPr>
        <w:spacing w:after="0" w:line="240" w:lineRule="auto"/>
        <w:ind w:left="442" w:leftChars="184"/>
        <w:jc w:val="both"/>
        <w:rPr>
          <w:b/>
          <w:bCs/>
          <w:i/>
          <w:iCs/>
          <w:color w:val="auto"/>
          <w:sz w:val="26"/>
          <w:szCs w:val="26"/>
          <w:highlight w:val="none"/>
          <w:lang w:val="vi-VN"/>
        </w:rPr>
      </w:pPr>
      <w:r>
        <w:rPr>
          <w:b/>
          <w:bCs/>
          <w:i/>
          <w:iCs/>
          <w:color w:val="auto"/>
          <w:sz w:val="26"/>
          <w:szCs w:val="26"/>
          <w:highlight w:val="none"/>
          <w:lang w:val="vi-VN"/>
        </w:rPr>
        <w:t>5.</w:t>
      </w:r>
      <w:r>
        <w:rPr>
          <w:b/>
          <w:bCs/>
          <w:i/>
          <w:iCs/>
          <w:color w:val="auto"/>
          <w:sz w:val="26"/>
          <w:szCs w:val="26"/>
          <w:highlight w:val="none"/>
        </w:rPr>
        <w:t>3</w:t>
      </w:r>
      <w:r>
        <w:rPr>
          <w:b/>
          <w:bCs/>
          <w:i/>
          <w:iCs/>
          <w:color w:val="auto"/>
          <w:sz w:val="26"/>
          <w:szCs w:val="26"/>
          <w:highlight w:val="none"/>
          <w:lang w:val="vi-VN"/>
        </w:rPr>
        <w:t>. Thực hiện quy chế dân chủ cơ sở, nội quy lao động</w:t>
      </w:r>
      <w:r>
        <w:rPr>
          <w:b/>
          <w:bCs/>
          <w:i/>
          <w:iCs/>
          <w:color w:val="auto"/>
          <w:sz w:val="26"/>
          <w:szCs w:val="26"/>
          <w:highlight w:val="none"/>
        </w:rPr>
        <w:t xml:space="preserve"> và luật pháp:</w:t>
      </w:r>
    </w:p>
    <w:p>
      <w:pPr>
        <w:spacing w:after="0" w:line="240" w:lineRule="auto"/>
        <w:ind w:firstLine="426"/>
        <w:jc w:val="both"/>
        <w:rPr>
          <w:color w:val="auto"/>
          <w:sz w:val="26"/>
          <w:szCs w:val="26"/>
          <w:highlight w:val="none"/>
        </w:rPr>
      </w:pPr>
      <w:r>
        <w:rPr>
          <w:color w:val="auto"/>
          <w:sz w:val="26"/>
          <w:szCs w:val="26"/>
          <w:highlight w:val="none"/>
        </w:rPr>
        <w:t>- Công ty luôn chấp hành tốt các chủ trương, chính sách của Đảng và Pháp luật của Nhà Nước, Quy định của địa phương, tích cực thực hành tiết kiệm, chống lãng phí. Trong năm 2020 không để xảy ra vi phạm về tham nhũng, lãng phí.</w:t>
      </w:r>
    </w:p>
    <w:p>
      <w:pPr>
        <w:spacing w:after="0" w:line="240" w:lineRule="auto"/>
        <w:ind w:firstLine="478" w:firstLineChars="184"/>
        <w:jc w:val="both"/>
        <w:rPr>
          <w:color w:val="auto"/>
          <w:sz w:val="26"/>
          <w:szCs w:val="26"/>
          <w:highlight w:val="none"/>
        </w:rPr>
      </w:pPr>
      <w:r>
        <w:rPr>
          <w:color w:val="auto"/>
          <w:sz w:val="26"/>
          <w:szCs w:val="26"/>
          <w:highlight w:val="none"/>
          <w:lang w:val="vi-VN"/>
        </w:rPr>
        <w:t xml:space="preserve">- </w:t>
      </w:r>
      <w:r>
        <w:rPr>
          <w:color w:val="auto"/>
          <w:sz w:val="26"/>
          <w:szCs w:val="26"/>
          <w:highlight w:val="none"/>
        </w:rPr>
        <w:t xml:space="preserve">Quy chế dân chủ cơ sở được thực hiện nghiệm túc. </w:t>
      </w:r>
    </w:p>
    <w:p>
      <w:pPr>
        <w:spacing w:after="0" w:line="240" w:lineRule="auto"/>
        <w:ind w:firstLine="478" w:firstLineChars="184"/>
        <w:jc w:val="both"/>
        <w:rPr>
          <w:color w:val="auto"/>
          <w:sz w:val="26"/>
          <w:szCs w:val="26"/>
          <w:highlight w:val="none"/>
        </w:rPr>
      </w:pPr>
      <w:r>
        <w:rPr>
          <w:color w:val="auto"/>
          <w:sz w:val="26"/>
          <w:szCs w:val="26"/>
          <w:highlight w:val="none"/>
        </w:rPr>
        <w:t xml:space="preserve">- </w:t>
      </w:r>
      <w:r>
        <w:rPr>
          <w:color w:val="auto"/>
          <w:sz w:val="26"/>
          <w:szCs w:val="26"/>
          <w:highlight w:val="none"/>
          <w:lang w:val="vi-VN"/>
        </w:rPr>
        <w:t xml:space="preserve">Nội quy lao động được quán triệt và thực hiện nghiêm. Trong năm </w:t>
      </w:r>
      <w:r>
        <w:rPr>
          <w:color w:val="auto"/>
          <w:sz w:val="26"/>
          <w:szCs w:val="26"/>
          <w:highlight w:val="none"/>
        </w:rPr>
        <w:t>không có người lao động nào bị xử lý kỉ luật.</w:t>
      </w:r>
    </w:p>
    <w:p>
      <w:pPr>
        <w:spacing w:after="0" w:line="240" w:lineRule="auto"/>
        <w:ind w:firstLine="426"/>
        <w:jc w:val="both"/>
        <w:rPr>
          <w:color w:val="auto"/>
          <w:sz w:val="26"/>
          <w:szCs w:val="26"/>
          <w:highlight w:val="none"/>
          <w:lang w:val="vi-VN"/>
        </w:rPr>
      </w:pPr>
      <w:r>
        <w:rPr>
          <w:color w:val="auto"/>
          <w:sz w:val="26"/>
          <w:szCs w:val="26"/>
          <w:highlight w:val="none"/>
          <w:lang w:val="vi-VN"/>
        </w:rPr>
        <w:t>- Giải quyết khiế</w:t>
      </w:r>
      <w:r>
        <w:rPr>
          <w:color w:val="auto"/>
          <w:sz w:val="26"/>
          <w:szCs w:val="26"/>
          <w:highlight w:val="none"/>
        </w:rPr>
        <w:t xml:space="preserve">u nại, tố cáo : </w:t>
      </w:r>
      <w:r>
        <w:rPr>
          <w:color w:val="auto"/>
          <w:sz w:val="26"/>
          <w:szCs w:val="26"/>
          <w:highlight w:val="none"/>
          <w:lang w:val="vi-VN"/>
        </w:rPr>
        <w:t>Trong năm không có khiếu nại, tố cáo.</w:t>
      </w:r>
    </w:p>
    <w:p>
      <w:pPr>
        <w:spacing w:after="0" w:line="240" w:lineRule="auto"/>
        <w:ind w:firstLine="426"/>
        <w:jc w:val="both"/>
        <w:rPr>
          <w:color w:val="auto"/>
          <w:sz w:val="26"/>
          <w:szCs w:val="26"/>
          <w:highlight w:val="none"/>
        </w:rPr>
      </w:pPr>
      <w:r>
        <w:rPr>
          <w:color w:val="auto"/>
          <w:sz w:val="26"/>
          <w:szCs w:val="26"/>
          <w:highlight w:val="none"/>
        </w:rPr>
        <w:t>- Công ty luôn tạo điều kiện thuận lợi cho tổ chức chính trị, chính trị xã hội hoạt động quy định của pháp luật và Điều lệ tổ chức. Tham gia tốt các phong trào thi đua do Đảng ủy khối, Công đoàn khối phát động.</w:t>
      </w:r>
    </w:p>
    <w:p>
      <w:pPr>
        <w:spacing w:after="0" w:line="240" w:lineRule="auto"/>
        <w:ind w:firstLine="426"/>
        <w:jc w:val="both"/>
        <w:rPr>
          <w:color w:val="auto"/>
          <w:sz w:val="26"/>
          <w:szCs w:val="26"/>
          <w:highlight w:val="none"/>
        </w:rPr>
      </w:pPr>
    </w:p>
    <w:p>
      <w:pPr>
        <w:spacing w:after="0" w:line="240" w:lineRule="auto"/>
        <w:ind w:firstLine="479" w:firstLineChars="184"/>
        <w:jc w:val="both"/>
        <w:rPr>
          <w:b/>
          <w:bCs/>
          <w:color w:val="auto"/>
          <w:sz w:val="26"/>
          <w:szCs w:val="26"/>
          <w:highlight w:val="none"/>
        </w:rPr>
      </w:pPr>
      <w:r>
        <w:rPr>
          <w:b/>
          <w:bCs/>
          <w:color w:val="auto"/>
          <w:sz w:val="26"/>
          <w:szCs w:val="26"/>
          <w:highlight w:val="none"/>
          <w:lang w:val="vi-VN"/>
        </w:rPr>
        <w:t>III. TỒN TẠI, KHUYẾT ĐIỂM – NGUYÊN NHÂN VÀ BIỆN PHÁP KHẮC PHỤC</w:t>
      </w:r>
      <w:r>
        <w:rPr>
          <w:b/>
          <w:bCs/>
          <w:color w:val="auto"/>
          <w:sz w:val="26"/>
          <w:szCs w:val="26"/>
          <w:highlight w:val="none"/>
        </w:rPr>
        <w:t>.</w:t>
      </w:r>
    </w:p>
    <w:p>
      <w:pPr>
        <w:spacing w:after="0" w:line="240" w:lineRule="auto"/>
        <w:ind w:firstLine="420"/>
        <w:jc w:val="both"/>
        <w:rPr>
          <w:color w:val="auto"/>
          <w:sz w:val="26"/>
          <w:szCs w:val="26"/>
          <w:highlight w:val="none"/>
        </w:rPr>
      </w:pPr>
      <w:r>
        <w:rPr>
          <w:color w:val="auto"/>
          <w:sz w:val="26"/>
          <w:szCs w:val="26"/>
          <w:highlight w:val="none"/>
        </w:rPr>
        <w:t>1. Mặc dù 2020 đã xây dựng ban hành một số quy định nội bộ nhưng vẫn còn thiếu hoặc chưa đáp ứng yêu cầu SXKD, đặc biệt là về Quản lý vườn ươm, chất lượng cây giống, Phòng trừ sâu bệnh, Tuyển dụng đào tạo, ….. Trong năm 2021, tiếp tục phải hoàn thiện hệ thống quy chế, quy định quản lý nội bộ để tăng cường hiệu lực quản lý, điều hành SXKD đúng Điều lệ, Pháp luật nhưng nhanh, gọn, hiệu quả.</w:t>
      </w:r>
    </w:p>
    <w:p>
      <w:pPr>
        <w:spacing w:after="0" w:line="240" w:lineRule="auto"/>
        <w:ind w:firstLine="420"/>
        <w:jc w:val="both"/>
        <w:rPr>
          <w:color w:val="auto"/>
          <w:sz w:val="26"/>
          <w:szCs w:val="26"/>
          <w:highlight w:val="none"/>
        </w:rPr>
      </w:pPr>
      <w:r>
        <w:rPr>
          <w:color w:val="auto"/>
          <w:sz w:val="26"/>
          <w:szCs w:val="26"/>
          <w:highlight w:val="none"/>
        </w:rPr>
        <w:t>2. Một số công việc tổ chức thực hiện còn chậm so với yêu cầu, nhất là về tiến độ bán đấu giá rừng. Năm 2021 phải triển khai chỉ đạo khẩn trương và sâu sát, kịp thời các công việc này.</w:t>
      </w:r>
    </w:p>
    <w:p>
      <w:pPr>
        <w:spacing w:after="0" w:line="240" w:lineRule="auto"/>
        <w:ind w:firstLine="423" w:firstLineChars="163"/>
        <w:jc w:val="both"/>
        <w:rPr>
          <w:color w:val="auto"/>
          <w:sz w:val="26"/>
          <w:szCs w:val="26"/>
          <w:highlight w:val="none"/>
        </w:rPr>
      </w:pPr>
      <w:r>
        <w:rPr>
          <w:color w:val="auto"/>
          <w:sz w:val="26"/>
          <w:szCs w:val="26"/>
          <w:highlight w:val="none"/>
        </w:rPr>
        <w:t xml:space="preserve">3. Việc triển khai lập Dự án xây dựng cao ốc văn phòng và cho thuê tại 573 Nguyễn Kiệm đến nay đã xong khâu lập dự án tiền khả thi trình HĐQT xem xét. </w:t>
      </w:r>
    </w:p>
    <w:p>
      <w:pPr>
        <w:spacing w:after="0" w:line="240" w:lineRule="auto"/>
        <w:ind w:firstLine="423" w:firstLineChars="163"/>
        <w:jc w:val="both"/>
        <w:rPr>
          <w:bCs/>
          <w:iCs/>
          <w:color w:val="auto"/>
          <w:sz w:val="26"/>
          <w:szCs w:val="26"/>
          <w:highlight w:val="none"/>
        </w:rPr>
      </w:pPr>
      <w:r>
        <w:rPr>
          <w:color w:val="auto"/>
          <w:sz w:val="26"/>
          <w:szCs w:val="26"/>
          <w:highlight w:val="none"/>
        </w:rPr>
        <w:t xml:space="preserve">Tuy nhiên </w:t>
      </w:r>
      <w:r>
        <w:rPr>
          <w:rFonts w:hint="default"/>
          <w:color w:val="auto"/>
          <w:sz w:val="26"/>
          <w:szCs w:val="26"/>
          <w:highlight w:val="none"/>
          <w:lang w:val="en-US"/>
        </w:rPr>
        <w:t xml:space="preserve">do ảnh hưởng của dịch bệnh Covid-19 nên việc triển khai còn chậm. Xuất phát từ thực tiễn, </w:t>
      </w:r>
      <w:r>
        <w:rPr>
          <w:rFonts w:hint="default" w:ascii="Times New Roman" w:hAnsi="Times New Roman" w:cs="Times New Roman"/>
          <w:bCs/>
          <w:iCs/>
          <w:color w:val="auto"/>
          <w:sz w:val="26"/>
          <w:szCs w:val="26"/>
          <w:highlight w:val="none"/>
          <w:lang w:val="en-US"/>
        </w:rPr>
        <w:t>nhiều doanh nghiệp chuyển sang hình thức kinh doanh online,</w:t>
      </w:r>
      <w:r>
        <w:rPr>
          <w:rFonts w:hint="default" w:ascii="Times New Roman" w:hAnsi="Times New Roman" w:cs="Times New Roman"/>
          <w:bCs/>
          <w:iCs/>
          <w:color w:val="auto"/>
          <w:sz w:val="24"/>
          <w:szCs w:val="24"/>
          <w:highlight w:val="none"/>
          <w:lang w:val="en-US"/>
        </w:rPr>
        <w:t xml:space="preserve"> </w:t>
      </w:r>
      <w:r>
        <w:rPr>
          <w:rFonts w:hint="default"/>
          <w:color w:val="auto"/>
          <w:sz w:val="26"/>
          <w:szCs w:val="26"/>
          <w:highlight w:val="none"/>
          <w:lang w:val="en-US"/>
        </w:rPr>
        <w:t>nhu cầu xây cao ốc Văn phòng cho thuê không còn hợp với xu hướng kinh doanh hiện tại</w:t>
      </w:r>
      <w:r>
        <w:rPr>
          <w:bCs/>
          <w:iCs/>
          <w:color w:val="auto"/>
          <w:sz w:val="26"/>
          <w:szCs w:val="26"/>
          <w:highlight w:val="none"/>
        </w:rPr>
        <w:t>.</w:t>
      </w:r>
      <w:r>
        <w:rPr>
          <w:rFonts w:hint="default"/>
          <w:bCs/>
          <w:iCs/>
          <w:color w:val="auto"/>
          <w:sz w:val="26"/>
          <w:szCs w:val="26"/>
          <w:highlight w:val="none"/>
          <w:lang w:val="en-US"/>
        </w:rPr>
        <w:t xml:space="preserve"> Trong năm 2021, Ban lãnh đạo sẽ xem xét Phương án</w:t>
      </w:r>
      <w:r>
        <w:rPr>
          <w:bCs/>
          <w:iCs/>
          <w:color w:val="auto"/>
          <w:sz w:val="26"/>
          <w:szCs w:val="26"/>
          <w:highlight w:val="none"/>
        </w:rPr>
        <w:t xml:space="preserve"> </w:t>
      </w:r>
      <w:r>
        <w:rPr>
          <w:rFonts w:hint="default" w:ascii="Times New Roman" w:hAnsi="Times New Roman" w:cs="Times New Roman"/>
          <w:bCs/>
          <w:iCs/>
          <w:color w:val="auto"/>
          <w:sz w:val="26"/>
          <w:szCs w:val="26"/>
          <w:highlight w:val="none"/>
          <w:lang w:val="en-US"/>
        </w:rPr>
        <w:t>xin sửa chữa, xây nhà tiền chế để đẩy nhanh thủ tục hành chính.</w:t>
      </w:r>
    </w:p>
    <w:p>
      <w:pPr>
        <w:rPr>
          <w:b/>
          <w:iCs/>
          <w:color w:val="auto"/>
          <w:sz w:val="10"/>
          <w:szCs w:val="10"/>
          <w:highlight w:val="none"/>
        </w:rPr>
      </w:pPr>
      <w:r>
        <w:rPr>
          <w:b/>
          <w:iCs/>
          <w:color w:val="auto"/>
          <w:sz w:val="10"/>
          <w:szCs w:val="10"/>
          <w:highlight w:val="none"/>
        </w:rPr>
        <w:br w:type="page"/>
      </w:r>
    </w:p>
    <w:p>
      <w:pPr>
        <w:jc w:val="center"/>
        <w:rPr>
          <w:b/>
          <w:bCs/>
          <w:color w:val="auto"/>
          <w:sz w:val="28"/>
          <w:szCs w:val="28"/>
          <w:highlight w:val="none"/>
          <w:u w:val="single"/>
        </w:rPr>
      </w:pPr>
      <w:r>
        <w:rPr>
          <w:b/>
          <w:iCs/>
          <w:color w:val="auto"/>
          <w:sz w:val="26"/>
          <w:szCs w:val="26"/>
          <w:highlight w:val="none"/>
          <w:u w:val="single"/>
        </w:rPr>
        <w:t>PH</w:t>
      </w:r>
      <w:r>
        <w:rPr>
          <w:b/>
          <w:bCs/>
          <w:color w:val="auto"/>
          <w:sz w:val="28"/>
          <w:szCs w:val="28"/>
          <w:highlight w:val="none"/>
          <w:u w:val="single"/>
        </w:rPr>
        <w:t>ẦN THỨ HAI</w:t>
      </w:r>
    </w:p>
    <w:p>
      <w:pPr>
        <w:spacing w:after="0" w:line="240" w:lineRule="auto"/>
        <w:jc w:val="center"/>
        <w:rPr>
          <w:b/>
          <w:color w:val="auto"/>
          <w:sz w:val="26"/>
          <w:szCs w:val="26"/>
          <w:highlight w:val="none"/>
        </w:rPr>
      </w:pPr>
      <w:r>
        <w:rPr>
          <w:b/>
          <w:color w:val="auto"/>
          <w:sz w:val="26"/>
          <w:szCs w:val="26"/>
          <w:highlight w:val="none"/>
        </w:rPr>
        <w:t>KẾ HOẠCH SẢN XUẤT KINH DOANH NĂM 2021</w:t>
      </w:r>
    </w:p>
    <w:p>
      <w:pPr>
        <w:spacing w:after="0" w:line="240" w:lineRule="auto"/>
        <w:jc w:val="center"/>
        <w:rPr>
          <w:b/>
          <w:color w:val="auto"/>
          <w:sz w:val="10"/>
          <w:szCs w:val="10"/>
          <w:highlight w:val="none"/>
        </w:rPr>
      </w:pPr>
    </w:p>
    <w:p>
      <w:pPr>
        <w:spacing w:after="0" w:line="240" w:lineRule="auto"/>
        <w:ind w:firstLine="480"/>
        <w:rPr>
          <w:b/>
          <w:color w:val="auto"/>
          <w:sz w:val="26"/>
          <w:szCs w:val="26"/>
          <w:highlight w:val="none"/>
        </w:rPr>
      </w:pPr>
      <w:r>
        <w:rPr>
          <w:b/>
          <w:color w:val="auto"/>
          <w:sz w:val="26"/>
          <w:szCs w:val="26"/>
          <w:highlight w:val="none"/>
          <w:lang w:val="vi-VN"/>
        </w:rPr>
        <w:t>I. MỤC TIÊ</w:t>
      </w:r>
      <w:r>
        <w:rPr>
          <w:b/>
          <w:color w:val="auto"/>
          <w:sz w:val="26"/>
          <w:szCs w:val="26"/>
          <w:highlight w:val="none"/>
        </w:rPr>
        <w:t>U</w:t>
      </w:r>
    </w:p>
    <w:p>
      <w:pPr>
        <w:spacing w:after="0" w:line="240" w:lineRule="auto"/>
        <w:ind w:firstLine="478" w:firstLineChars="184"/>
        <w:jc w:val="both"/>
        <w:rPr>
          <w:color w:val="auto"/>
          <w:sz w:val="26"/>
          <w:szCs w:val="26"/>
          <w:highlight w:val="none"/>
        </w:rPr>
      </w:pPr>
      <w:r>
        <w:rPr>
          <w:color w:val="auto"/>
          <w:sz w:val="26"/>
          <w:szCs w:val="26"/>
          <w:highlight w:val="none"/>
        </w:rPr>
        <w:t>1. Bảo toàn và phát triển vốn, kinh doanh có lãi.</w:t>
      </w:r>
    </w:p>
    <w:p>
      <w:pPr>
        <w:spacing w:after="0" w:line="240" w:lineRule="auto"/>
        <w:ind w:firstLine="478" w:firstLineChars="184"/>
        <w:jc w:val="both"/>
        <w:rPr>
          <w:color w:val="auto"/>
          <w:sz w:val="26"/>
          <w:szCs w:val="26"/>
          <w:highlight w:val="none"/>
        </w:rPr>
      </w:pPr>
      <w:r>
        <w:rPr>
          <w:color w:val="auto"/>
          <w:sz w:val="26"/>
          <w:szCs w:val="26"/>
          <w:highlight w:val="none"/>
        </w:rPr>
        <w:t>2. Duy trì tốc độ phát triển, mở rộng quy mô sản xuất - kinh doanh một cách bền vững.</w:t>
      </w:r>
    </w:p>
    <w:p>
      <w:pPr>
        <w:spacing w:after="0" w:line="240" w:lineRule="auto"/>
        <w:ind w:firstLine="478" w:firstLineChars="184"/>
        <w:jc w:val="both"/>
        <w:rPr>
          <w:color w:val="auto"/>
          <w:sz w:val="26"/>
          <w:szCs w:val="26"/>
          <w:highlight w:val="none"/>
        </w:rPr>
      </w:pPr>
      <w:r>
        <w:rPr>
          <w:color w:val="auto"/>
          <w:sz w:val="26"/>
          <w:szCs w:val="26"/>
          <w:highlight w:val="none"/>
        </w:rPr>
        <w:t>3. Nộp Ngân sách đúng, đủ và kịp thời theo quy định.</w:t>
      </w:r>
    </w:p>
    <w:p>
      <w:pPr>
        <w:spacing w:after="0" w:line="240" w:lineRule="auto"/>
        <w:ind w:firstLine="478" w:firstLineChars="184"/>
        <w:jc w:val="both"/>
        <w:rPr>
          <w:color w:val="auto"/>
          <w:sz w:val="26"/>
          <w:szCs w:val="26"/>
          <w:highlight w:val="none"/>
        </w:rPr>
      </w:pPr>
      <w:r>
        <w:rPr>
          <w:color w:val="auto"/>
          <w:sz w:val="26"/>
          <w:szCs w:val="26"/>
          <w:highlight w:val="none"/>
        </w:rPr>
        <w:t>4. Đảm bảo việc làm, thu nhập và thực hiện tốt các chế độ, chính sách đối với người lao động.</w:t>
      </w:r>
    </w:p>
    <w:p>
      <w:pPr>
        <w:spacing w:after="0" w:line="240" w:lineRule="auto"/>
        <w:ind w:firstLine="478" w:firstLineChars="184"/>
        <w:jc w:val="both"/>
        <w:rPr>
          <w:color w:val="auto"/>
          <w:sz w:val="26"/>
          <w:szCs w:val="26"/>
          <w:highlight w:val="none"/>
        </w:rPr>
      </w:pPr>
      <w:r>
        <w:rPr>
          <w:color w:val="auto"/>
          <w:sz w:val="26"/>
          <w:szCs w:val="26"/>
          <w:highlight w:val="none"/>
        </w:rPr>
        <w:t>5. Đảm bảo cổ tức hiệu quả cho cổ đông.</w:t>
      </w:r>
    </w:p>
    <w:p>
      <w:pPr>
        <w:spacing w:after="0" w:line="240" w:lineRule="auto"/>
        <w:ind w:firstLine="184" w:firstLineChars="184"/>
        <w:jc w:val="both"/>
        <w:rPr>
          <w:color w:val="auto"/>
          <w:sz w:val="10"/>
          <w:szCs w:val="10"/>
          <w:highlight w:val="none"/>
        </w:rPr>
      </w:pPr>
    </w:p>
    <w:p>
      <w:pPr>
        <w:spacing w:after="0" w:line="240" w:lineRule="auto"/>
        <w:ind w:firstLine="480"/>
        <w:rPr>
          <w:b/>
          <w:color w:val="auto"/>
          <w:sz w:val="26"/>
          <w:szCs w:val="26"/>
          <w:highlight w:val="none"/>
          <w:lang w:val="vi-VN"/>
        </w:rPr>
      </w:pPr>
      <w:r>
        <w:rPr>
          <w:b/>
          <w:color w:val="auto"/>
          <w:sz w:val="26"/>
          <w:szCs w:val="26"/>
          <w:highlight w:val="none"/>
          <w:lang w:val="vi-VN"/>
        </w:rPr>
        <w:t>II. CÁC CHỈ TIÊU – NHIỆM VỤ CHỦ YẾU</w:t>
      </w:r>
    </w:p>
    <w:p>
      <w:pPr>
        <w:spacing w:after="0" w:line="240" w:lineRule="auto"/>
        <w:ind w:firstLine="479" w:firstLineChars="184"/>
        <w:jc w:val="both"/>
        <w:rPr>
          <w:color w:val="auto"/>
          <w:sz w:val="26"/>
          <w:szCs w:val="26"/>
          <w:highlight w:val="none"/>
        </w:rPr>
      </w:pPr>
      <w:r>
        <w:rPr>
          <w:b/>
          <w:bCs/>
          <w:color w:val="auto"/>
          <w:sz w:val="26"/>
          <w:szCs w:val="26"/>
          <w:highlight w:val="none"/>
        </w:rPr>
        <w:t>1. Các chỉ tiêu về tài chính :</w:t>
      </w:r>
    </w:p>
    <w:p>
      <w:pPr>
        <w:spacing w:after="0" w:line="240" w:lineRule="auto"/>
        <w:ind w:firstLine="478" w:firstLineChars="184"/>
        <w:jc w:val="both"/>
        <w:rPr>
          <w:color w:val="auto"/>
          <w:sz w:val="26"/>
          <w:szCs w:val="26"/>
          <w:highlight w:val="none"/>
        </w:rPr>
      </w:pPr>
      <w:r>
        <w:rPr>
          <w:color w:val="auto"/>
          <w:sz w:val="26"/>
          <w:szCs w:val="26"/>
          <w:highlight w:val="none"/>
        </w:rPr>
        <w:t xml:space="preserve">1.1. Tổng doanh thu và thu nhập khác : </w:t>
      </w:r>
      <w:r>
        <w:rPr>
          <w:color w:val="auto"/>
          <w:sz w:val="26"/>
          <w:szCs w:val="26"/>
          <w:highlight w:val="none"/>
        </w:rPr>
        <w:tab/>
      </w:r>
      <w:r>
        <w:rPr>
          <w:color w:val="auto"/>
          <w:sz w:val="26"/>
          <w:szCs w:val="26"/>
          <w:highlight w:val="none"/>
        </w:rPr>
        <w:t>21.9</w:t>
      </w:r>
      <w:r>
        <w:rPr>
          <w:rFonts w:hint="default"/>
          <w:color w:val="auto"/>
          <w:sz w:val="26"/>
          <w:szCs w:val="26"/>
          <w:highlight w:val="none"/>
          <w:lang w:val="en-US"/>
        </w:rPr>
        <w:t>2</w:t>
      </w:r>
      <w:r>
        <w:rPr>
          <w:color w:val="auto"/>
          <w:sz w:val="26"/>
          <w:szCs w:val="26"/>
          <w:highlight w:val="none"/>
        </w:rPr>
        <w:t>0 triệu đồng. Gồm :</w:t>
      </w:r>
    </w:p>
    <w:p>
      <w:pPr>
        <w:spacing w:after="0" w:line="240" w:lineRule="auto"/>
        <w:ind w:firstLine="478" w:firstLineChars="184"/>
        <w:jc w:val="both"/>
        <w:rPr>
          <w:color w:val="auto"/>
          <w:sz w:val="26"/>
          <w:szCs w:val="26"/>
          <w:highlight w:val="none"/>
        </w:rPr>
      </w:pPr>
      <w:r>
        <w:rPr>
          <w:color w:val="auto"/>
          <w:sz w:val="26"/>
          <w:szCs w:val="26"/>
          <w:highlight w:val="none"/>
        </w:rPr>
        <w:t xml:space="preserve">- Doanh thu cây giống các loại: </w:t>
      </w:r>
      <w:r>
        <w:rPr>
          <w:color w:val="auto"/>
          <w:sz w:val="26"/>
          <w:szCs w:val="26"/>
          <w:highlight w:val="none"/>
        </w:rPr>
        <w:tab/>
      </w:r>
      <w:r>
        <w:rPr>
          <w:color w:val="auto"/>
          <w:sz w:val="26"/>
          <w:szCs w:val="26"/>
          <w:highlight w:val="none"/>
        </w:rPr>
        <w:tab/>
      </w:r>
      <w:r>
        <w:rPr>
          <w:color w:val="auto"/>
          <w:sz w:val="26"/>
          <w:szCs w:val="26"/>
          <w:highlight w:val="none"/>
        </w:rPr>
        <w:t>15.9</w:t>
      </w:r>
      <w:r>
        <w:rPr>
          <w:rFonts w:hint="default"/>
          <w:color w:val="auto"/>
          <w:sz w:val="26"/>
          <w:szCs w:val="26"/>
          <w:highlight w:val="none"/>
          <w:lang w:val="en-US"/>
        </w:rPr>
        <w:t>5</w:t>
      </w:r>
      <w:r>
        <w:rPr>
          <w:color w:val="auto"/>
          <w:sz w:val="26"/>
          <w:szCs w:val="26"/>
          <w:highlight w:val="none"/>
        </w:rPr>
        <w:t>0 triệu đồng.</w:t>
      </w:r>
    </w:p>
    <w:p>
      <w:pPr>
        <w:spacing w:after="0" w:line="240" w:lineRule="auto"/>
        <w:ind w:firstLine="478" w:firstLineChars="184"/>
        <w:jc w:val="both"/>
        <w:rPr>
          <w:color w:val="auto"/>
          <w:sz w:val="26"/>
          <w:szCs w:val="26"/>
          <w:highlight w:val="none"/>
        </w:rPr>
      </w:pPr>
      <w:r>
        <w:rPr>
          <w:color w:val="auto"/>
          <w:sz w:val="26"/>
          <w:szCs w:val="26"/>
          <w:highlight w:val="none"/>
        </w:rPr>
        <w:t xml:space="preserve">- Doanh thu hạt giống các loại:      </w:t>
      </w:r>
      <w:r>
        <w:rPr>
          <w:color w:val="auto"/>
          <w:sz w:val="26"/>
          <w:szCs w:val="26"/>
          <w:highlight w:val="none"/>
        </w:rPr>
        <w:tab/>
      </w:r>
      <w:r>
        <w:rPr>
          <w:color w:val="auto"/>
          <w:sz w:val="26"/>
          <w:szCs w:val="26"/>
          <w:highlight w:val="none"/>
        </w:rPr>
        <w:tab/>
      </w:r>
      <w:r>
        <w:rPr>
          <w:color w:val="auto"/>
          <w:sz w:val="26"/>
          <w:szCs w:val="26"/>
          <w:highlight w:val="none"/>
        </w:rPr>
        <w:t xml:space="preserve">     500 triệu đồng.</w:t>
      </w:r>
    </w:p>
    <w:p>
      <w:pPr>
        <w:spacing w:after="0" w:line="240" w:lineRule="auto"/>
        <w:ind w:firstLine="478" w:firstLineChars="184"/>
        <w:jc w:val="both"/>
        <w:rPr>
          <w:color w:val="auto"/>
          <w:sz w:val="26"/>
          <w:szCs w:val="26"/>
          <w:highlight w:val="none"/>
        </w:rPr>
      </w:pPr>
      <w:r>
        <w:rPr>
          <w:color w:val="auto"/>
          <w:sz w:val="26"/>
          <w:szCs w:val="26"/>
          <w:highlight w:val="none"/>
        </w:rPr>
        <w:t xml:space="preserve">- Doanh thu bán cây đứng rừng trồng : </w:t>
      </w:r>
      <w:r>
        <w:rPr>
          <w:color w:val="auto"/>
          <w:sz w:val="26"/>
          <w:szCs w:val="26"/>
          <w:highlight w:val="none"/>
        </w:rPr>
        <w:tab/>
      </w:r>
      <w:r>
        <w:rPr>
          <w:color w:val="auto"/>
          <w:sz w:val="26"/>
          <w:szCs w:val="26"/>
          <w:highlight w:val="none"/>
        </w:rPr>
        <w:t xml:space="preserve"> 5.000 trệu đồng.</w:t>
      </w:r>
    </w:p>
    <w:p>
      <w:pPr>
        <w:spacing w:after="0" w:line="240" w:lineRule="auto"/>
        <w:ind w:firstLine="478" w:firstLineChars="184"/>
        <w:jc w:val="both"/>
        <w:rPr>
          <w:color w:val="auto"/>
          <w:sz w:val="26"/>
          <w:szCs w:val="26"/>
          <w:highlight w:val="none"/>
        </w:rPr>
      </w:pPr>
      <w:r>
        <w:rPr>
          <w:color w:val="auto"/>
          <w:sz w:val="26"/>
          <w:szCs w:val="26"/>
          <w:highlight w:val="none"/>
        </w:rPr>
        <w:t xml:space="preserve">- Thu khác: </w:t>
      </w:r>
      <w:r>
        <w:rPr>
          <w:color w:val="auto"/>
          <w:sz w:val="26"/>
          <w:szCs w:val="26"/>
          <w:highlight w:val="none"/>
        </w:rPr>
        <w:tab/>
      </w:r>
      <w:r>
        <w:rPr>
          <w:color w:val="auto"/>
          <w:sz w:val="26"/>
          <w:szCs w:val="26"/>
          <w:highlight w:val="none"/>
        </w:rPr>
        <w:tab/>
      </w:r>
      <w:r>
        <w:rPr>
          <w:color w:val="auto"/>
          <w:sz w:val="26"/>
          <w:szCs w:val="26"/>
          <w:highlight w:val="none"/>
        </w:rPr>
        <w:tab/>
      </w:r>
      <w:r>
        <w:rPr>
          <w:color w:val="auto"/>
          <w:sz w:val="26"/>
          <w:szCs w:val="26"/>
          <w:highlight w:val="none"/>
        </w:rPr>
        <w:tab/>
      </w:r>
      <w:r>
        <w:rPr>
          <w:color w:val="auto"/>
          <w:sz w:val="26"/>
          <w:szCs w:val="26"/>
          <w:highlight w:val="none"/>
        </w:rPr>
        <w:tab/>
      </w:r>
      <w:r>
        <w:rPr>
          <w:color w:val="auto"/>
          <w:sz w:val="26"/>
          <w:szCs w:val="26"/>
          <w:highlight w:val="none"/>
        </w:rPr>
        <w:t xml:space="preserve">    4</w:t>
      </w:r>
      <w:r>
        <w:rPr>
          <w:rFonts w:hint="default"/>
          <w:color w:val="auto"/>
          <w:sz w:val="26"/>
          <w:szCs w:val="26"/>
          <w:highlight w:val="none"/>
          <w:lang w:val="en-US"/>
        </w:rPr>
        <w:t>7</w:t>
      </w:r>
      <w:bookmarkStart w:id="0" w:name="_GoBack"/>
      <w:bookmarkEnd w:id="0"/>
      <w:r>
        <w:rPr>
          <w:color w:val="auto"/>
          <w:sz w:val="26"/>
          <w:szCs w:val="26"/>
          <w:highlight w:val="none"/>
        </w:rPr>
        <w:t>0 triệu đồng</w:t>
      </w:r>
    </w:p>
    <w:p>
      <w:pPr>
        <w:spacing w:after="0" w:line="240" w:lineRule="auto"/>
        <w:ind w:firstLine="478" w:firstLineChars="184"/>
        <w:jc w:val="both"/>
        <w:rPr>
          <w:color w:val="auto"/>
          <w:sz w:val="26"/>
          <w:szCs w:val="26"/>
          <w:highlight w:val="none"/>
        </w:rPr>
      </w:pPr>
      <w:r>
        <w:rPr>
          <w:color w:val="auto"/>
          <w:sz w:val="26"/>
          <w:szCs w:val="26"/>
          <w:highlight w:val="none"/>
        </w:rPr>
        <w:t>1.2. Lợi nhuận trước thuế: 4.4</w:t>
      </w:r>
      <w:r>
        <w:rPr>
          <w:rFonts w:hint="default"/>
          <w:color w:val="auto"/>
          <w:sz w:val="26"/>
          <w:szCs w:val="26"/>
          <w:highlight w:val="none"/>
          <w:lang w:val="en-US"/>
        </w:rPr>
        <w:t>14</w:t>
      </w:r>
      <w:r>
        <w:rPr>
          <w:color w:val="auto"/>
          <w:sz w:val="26"/>
          <w:szCs w:val="26"/>
          <w:highlight w:val="none"/>
        </w:rPr>
        <w:t xml:space="preserve"> triệu đồng.</w:t>
      </w:r>
    </w:p>
    <w:p>
      <w:pPr>
        <w:spacing w:after="0" w:line="240" w:lineRule="auto"/>
        <w:ind w:firstLine="478" w:firstLineChars="184"/>
        <w:jc w:val="both"/>
        <w:rPr>
          <w:color w:val="auto"/>
          <w:sz w:val="26"/>
          <w:szCs w:val="26"/>
          <w:highlight w:val="none"/>
        </w:rPr>
      </w:pPr>
      <w:r>
        <w:rPr>
          <w:color w:val="auto"/>
          <w:sz w:val="26"/>
          <w:szCs w:val="26"/>
          <w:highlight w:val="none"/>
        </w:rPr>
        <w:t>1.3. Tỷ lệ chia cổ tức: 2</w:t>
      </w:r>
      <w:r>
        <w:rPr>
          <w:rFonts w:hint="default"/>
          <w:color w:val="auto"/>
          <w:sz w:val="26"/>
          <w:szCs w:val="26"/>
          <w:highlight w:val="none"/>
          <w:lang w:val="en-US"/>
        </w:rPr>
        <w:t>1</w:t>
      </w:r>
      <w:r>
        <w:rPr>
          <w:color w:val="auto"/>
          <w:sz w:val="26"/>
          <w:szCs w:val="26"/>
          <w:highlight w:val="none"/>
        </w:rPr>
        <w:t xml:space="preserve"> %/năm.</w:t>
      </w:r>
    </w:p>
    <w:p>
      <w:pPr>
        <w:spacing w:after="0" w:line="240" w:lineRule="auto"/>
        <w:ind w:firstLine="478" w:firstLineChars="184"/>
        <w:jc w:val="both"/>
        <w:rPr>
          <w:color w:val="auto"/>
          <w:sz w:val="26"/>
          <w:szCs w:val="26"/>
          <w:highlight w:val="none"/>
        </w:rPr>
      </w:pPr>
      <w:r>
        <w:rPr>
          <w:color w:val="auto"/>
          <w:sz w:val="26"/>
          <w:szCs w:val="26"/>
          <w:highlight w:val="none"/>
        </w:rPr>
        <w:t>1.4. Nộp Ngân sách Nhà Nước: Đúng, đủ theo quy định hiện hành.</w:t>
      </w:r>
    </w:p>
    <w:p>
      <w:pPr>
        <w:spacing w:after="0" w:line="240" w:lineRule="auto"/>
        <w:ind w:firstLine="478" w:firstLineChars="184"/>
        <w:jc w:val="both"/>
        <w:rPr>
          <w:color w:val="auto"/>
          <w:sz w:val="26"/>
          <w:szCs w:val="26"/>
          <w:highlight w:val="none"/>
        </w:rPr>
      </w:pPr>
      <w:r>
        <w:rPr>
          <w:color w:val="auto"/>
          <w:sz w:val="26"/>
          <w:szCs w:val="26"/>
          <w:highlight w:val="none"/>
        </w:rPr>
        <w:t>1.6. Tiết giảm chi phí: 200 triệu đồng.</w:t>
      </w:r>
    </w:p>
    <w:p>
      <w:pPr>
        <w:spacing w:after="0" w:line="240" w:lineRule="auto"/>
        <w:ind w:firstLine="478" w:firstLineChars="184"/>
        <w:jc w:val="both"/>
        <w:rPr>
          <w:color w:val="auto"/>
          <w:sz w:val="26"/>
          <w:szCs w:val="26"/>
          <w:highlight w:val="none"/>
        </w:rPr>
      </w:pPr>
      <w:r>
        <w:rPr>
          <w:color w:val="auto"/>
          <w:sz w:val="26"/>
          <w:szCs w:val="26"/>
          <w:highlight w:val="none"/>
        </w:rPr>
        <w:t>1.7. Thu nhập bình quân của người lao động : 11,65 triệu đồng/người/tháng.</w:t>
      </w:r>
    </w:p>
    <w:p>
      <w:pPr>
        <w:numPr>
          <w:ilvl w:val="0"/>
          <w:numId w:val="6"/>
        </w:numPr>
        <w:spacing w:after="0" w:line="240" w:lineRule="auto"/>
        <w:ind w:firstLine="479" w:firstLineChars="184"/>
        <w:jc w:val="both"/>
        <w:rPr>
          <w:b/>
          <w:bCs/>
          <w:color w:val="auto"/>
          <w:sz w:val="26"/>
          <w:szCs w:val="26"/>
          <w:highlight w:val="none"/>
        </w:rPr>
      </w:pPr>
      <w:r>
        <w:rPr>
          <w:b/>
          <w:bCs/>
          <w:color w:val="auto"/>
          <w:sz w:val="26"/>
          <w:szCs w:val="26"/>
          <w:highlight w:val="none"/>
        </w:rPr>
        <w:t>Các chỉ tiêu, nhiệm vụ công tác sản xuất lâm nghiệp :</w:t>
      </w:r>
    </w:p>
    <w:p>
      <w:pPr>
        <w:numPr>
          <w:ilvl w:val="1"/>
          <w:numId w:val="6"/>
        </w:numPr>
        <w:spacing w:after="0" w:line="240" w:lineRule="auto"/>
        <w:ind w:firstLine="478" w:firstLineChars="184"/>
        <w:jc w:val="both"/>
        <w:rPr>
          <w:color w:val="auto"/>
          <w:sz w:val="26"/>
          <w:szCs w:val="26"/>
          <w:highlight w:val="none"/>
        </w:rPr>
      </w:pPr>
      <w:r>
        <w:rPr>
          <w:color w:val="auto"/>
          <w:sz w:val="26"/>
          <w:szCs w:val="26"/>
          <w:highlight w:val="none"/>
        </w:rPr>
        <w:t>Sản xuất giống :</w:t>
      </w:r>
    </w:p>
    <w:p>
      <w:pPr>
        <w:numPr>
          <w:ilvl w:val="0"/>
          <w:numId w:val="7"/>
        </w:numPr>
        <w:spacing w:after="0" w:line="240" w:lineRule="auto"/>
        <w:ind w:firstLine="478" w:firstLineChars="184"/>
        <w:jc w:val="both"/>
        <w:rPr>
          <w:color w:val="auto"/>
          <w:sz w:val="26"/>
          <w:szCs w:val="26"/>
          <w:highlight w:val="none"/>
          <w:lang w:eastAsia="vi-VN"/>
        </w:rPr>
      </w:pPr>
      <w:r>
        <w:rPr>
          <w:color w:val="auto"/>
          <w:sz w:val="26"/>
          <w:szCs w:val="26"/>
          <w:highlight w:val="none"/>
          <w:lang w:eastAsia="vi-VN"/>
        </w:rPr>
        <w:t xml:space="preserve">Phấn đấu sản xuất, tiêu thụ 16 triệu cây giống tốt. </w:t>
      </w:r>
      <w:r>
        <w:rPr>
          <w:rFonts w:hint="default"/>
          <w:color w:val="auto"/>
          <w:sz w:val="26"/>
          <w:szCs w:val="26"/>
          <w:highlight w:val="none"/>
          <w:lang w:val="en-US" w:eastAsia="vi-VN"/>
        </w:rPr>
        <w:t xml:space="preserve">Nâng cao năng lực </w:t>
      </w:r>
      <w:r>
        <w:rPr>
          <w:color w:val="auto"/>
          <w:sz w:val="26"/>
          <w:szCs w:val="26"/>
          <w:highlight w:val="none"/>
          <w:lang w:eastAsia="vi-VN"/>
        </w:rPr>
        <w:t>sản xuất các dòng Keo lai AH1, AH7</w:t>
      </w:r>
      <w:r>
        <w:rPr>
          <w:rFonts w:hint="default"/>
          <w:color w:val="auto"/>
          <w:sz w:val="26"/>
          <w:szCs w:val="26"/>
          <w:highlight w:val="none"/>
          <w:lang w:val="en-US" w:eastAsia="vi-VN"/>
        </w:rPr>
        <w:t xml:space="preserve"> </w:t>
      </w:r>
      <w:r>
        <w:rPr>
          <w:color w:val="auto"/>
          <w:sz w:val="26"/>
          <w:szCs w:val="26"/>
          <w:highlight w:val="none"/>
          <w:lang w:eastAsia="vi-VN"/>
        </w:rPr>
        <w:t xml:space="preserve">nhằm đáp ứng nhu cầu giống đảm bảo chất lượng </w:t>
      </w:r>
      <w:r>
        <w:rPr>
          <w:rFonts w:hint="default"/>
          <w:color w:val="auto"/>
          <w:sz w:val="26"/>
          <w:szCs w:val="26"/>
          <w:highlight w:val="none"/>
          <w:lang w:val="en-US" w:eastAsia="vi-VN"/>
        </w:rPr>
        <w:t>khi có</w:t>
      </w:r>
      <w:r>
        <w:rPr>
          <w:color w:val="auto"/>
          <w:sz w:val="26"/>
          <w:szCs w:val="26"/>
          <w:highlight w:val="none"/>
          <w:lang w:eastAsia="vi-VN"/>
        </w:rPr>
        <w:t xml:space="preserve"> khách hàng đặt hàng.</w:t>
      </w:r>
    </w:p>
    <w:p>
      <w:pPr>
        <w:spacing w:after="0" w:line="240" w:lineRule="auto"/>
        <w:ind w:firstLine="478" w:firstLineChars="184"/>
        <w:jc w:val="both"/>
        <w:rPr>
          <w:color w:val="auto"/>
          <w:sz w:val="26"/>
          <w:szCs w:val="26"/>
          <w:highlight w:val="none"/>
          <w:lang w:eastAsia="vi-VN"/>
        </w:rPr>
      </w:pPr>
      <w:r>
        <w:rPr>
          <w:color w:val="auto"/>
          <w:sz w:val="26"/>
          <w:szCs w:val="26"/>
          <w:highlight w:val="none"/>
          <w:lang w:eastAsia="vi-VN"/>
        </w:rPr>
        <w:t>b) Nhận chuyển giao giống mới :</w:t>
      </w:r>
    </w:p>
    <w:p>
      <w:pPr>
        <w:spacing w:after="0" w:line="240" w:lineRule="auto"/>
        <w:ind w:firstLine="478" w:firstLineChars="184"/>
        <w:jc w:val="both"/>
        <w:rPr>
          <w:color w:val="auto"/>
          <w:sz w:val="26"/>
          <w:szCs w:val="26"/>
          <w:highlight w:val="none"/>
          <w:lang w:eastAsia="vi-VN"/>
        </w:rPr>
      </w:pPr>
      <w:r>
        <w:rPr>
          <w:color w:val="auto"/>
          <w:sz w:val="26"/>
          <w:szCs w:val="26"/>
          <w:highlight w:val="none"/>
          <w:lang w:eastAsia="vi-VN"/>
        </w:rPr>
        <w:t>- Tiếp tục hoàn thiện công nghệ để tăng năng suất, sản lượng, hạ giá thành sản xuất dòng Keo lá tràm AA9 để sớm có sản phẩm mô mầm hàng hóa cung cấp cho thị trường.</w:t>
      </w:r>
    </w:p>
    <w:p>
      <w:pPr>
        <w:spacing w:after="0" w:line="240" w:lineRule="auto"/>
        <w:ind w:firstLine="478" w:firstLineChars="184"/>
        <w:jc w:val="both"/>
        <w:rPr>
          <w:rFonts w:hint="default"/>
          <w:color w:val="auto"/>
          <w:sz w:val="26"/>
          <w:szCs w:val="26"/>
          <w:highlight w:val="none"/>
          <w:lang w:val="en-US" w:eastAsia="vi-VN"/>
        </w:rPr>
      </w:pPr>
      <w:r>
        <w:rPr>
          <w:color w:val="auto"/>
          <w:sz w:val="26"/>
          <w:szCs w:val="26"/>
          <w:highlight w:val="none"/>
          <w:lang w:eastAsia="vi-VN"/>
        </w:rPr>
        <w:t xml:space="preserve">- </w:t>
      </w:r>
      <w:r>
        <w:rPr>
          <w:color w:val="auto"/>
          <w:sz w:val="26"/>
          <w:szCs w:val="26"/>
          <w:highlight w:val="none"/>
          <w:lang w:val="en-US" w:eastAsia="vi-VN"/>
        </w:rPr>
        <w:t>Đư</w:t>
      </w:r>
      <w:r>
        <w:rPr>
          <w:rFonts w:hint="default"/>
          <w:color w:val="auto"/>
          <w:sz w:val="26"/>
          <w:szCs w:val="26"/>
          <w:highlight w:val="none"/>
          <w:lang w:val="en-US" w:eastAsia="vi-VN"/>
        </w:rPr>
        <w:t>a vào sản xuất</w:t>
      </w:r>
      <w:r>
        <w:rPr>
          <w:color w:val="auto"/>
          <w:sz w:val="26"/>
          <w:szCs w:val="26"/>
          <w:highlight w:val="none"/>
          <w:lang w:eastAsia="vi-VN"/>
        </w:rPr>
        <w:t xml:space="preserve"> các dòng </w:t>
      </w:r>
      <w:r>
        <w:rPr>
          <w:rFonts w:hint="default"/>
          <w:color w:val="auto"/>
          <w:sz w:val="26"/>
          <w:szCs w:val="26"/>
          <w:highlight w:val="none"/>
          <w:lang w:val="en-US" w:eastAsia="vi-VN"/>
        </w:rPr>
        <w:t>K</w:t>
      </w:r>
      <w:r>
        <w:rPr>
          <w:color w:val="auto"/>
          <w:sz w:val="26"/>
          <w:szCs w:val="26"/>
          <w:highlight w:val="none"/>
          <w:lang w:eastAsia="vi-VN"/>
        </w:rPr>
        <w:t xml:space="preserve">eo lá tràm cao sản </w:t>
      </w:r>
      <w:r>
        <w:rPr>
          <w:color w:val="auto"/>
          <w:sz w:val="26"/>
          <w:szCs w:val="26"/>
          <w:highlight w:val="none"/>
          <w:lang w:val="sv" w:eastAsia="zh-CN" w:bidi="ar"/>
        </w:rPr>
        <w:t>Clt18, Clt57</w:t>
      </w:r>
      <w:r>
        <w:rPr>
          <w:rFonts w:hint="default"/>
          <w:color w:val="auto"/>
          <w:sz w:val="26"/>
          <w:szCs w:val="26"/>
          <w:highlight w:val="none"/>
          <w:lang w:val="en-US" w:eastAsia="zh-CN" w:bidi="ar"/>
        </w:rPr>
        <w:t>,</w:t>
      </w:r>
      <w:r>
        <w:rPr>
          <w:color w:val="auto"/>
          <w:sz w:val="26"/>
          <w:szCs w:val="26"/>
          <w:highlight w:val="none"/>
          <w:lang w:val="sv" w:eastAsia="zh-CN" w:bidi="ar"/>
        </w:rPr>
        <w:t xml:space="preserve"> Clt98</w:t>
      </w:r>
      <w:r>
        <w:rPr>
          <w:rFonts w:hint="default"/>
          <w:color w:val="auto"/>
          <w:sz w:val="26"/>
          <w:szCs w:val="26"/>
          <w:highlight w:val="none"/>
          <w:lang w:val="en-US" w:eastAsia="zh-CN" w:bidi="ar"/>
        </w:rPr>
        <w:t xml:space="preserve"> theo các hợp đồng ký kết.</w:t>
      </w:r>
    </w:p>
    <w:p>
      <w:pPr>
        <w:spacing w:after="0" w:line="240" w:lineRule="auto"/>
        <w:ind w:firstLine="478" w:firstLineChars="184"/>
        <w:jc w:val="both"/>
        <w:rPr>
          <w:color w:val="auto"/>
          <w:sz w:val="26"/>
          <w:szCs w:val="26"/>
          <w:highlight w:val="none"/>
        </w:rPr>
      </w:pPr>
      <w:r>
        <w:rPr>
          <w:color w:val="auto"/>
          <w:sz w:val="26"/>
          <w:szCs w:val="26"/>
          <w:highlight w:val="none"/>
        </w:rPr>
        <w:t xml:space="preserve">c) Thu hái, chế biến hạt giống : 2.000 kg. </w:t>
      </w:r>
    </w:p>
    <w:p>
      <w:pPr>
        <w:spacing w:after="0" w:line="240" w:lineRule="auto"/>
        <w:ind w:firstLine="478" w:firstLineChars="184"/>
        <w:jc w:val="both"/>
        <w:rPr>
          <w:color w:val="auto"/>
          <w:sz w:val="26"/>
          <w:szCs w:val="26"/>
          <w:highlight w:val="none"/>
        </w:rPr>
      </w:pPr>
      <w:r>
        <w:rPr>
          <w:color w:val="auto"/>
          <w:sz w:val="26"/>
          <w:szCs w:val="26"/>
          <w:highlight w:val="none"/>
        </w:rPr>
        <w:t>d) Ký hợp đồng kinh tế và tổ chức thực hiện các hạng mục thuộc Dự án giống với Tổng cục lâm nghiệp (nếu có).</w:t>
      </w:r>
    </w:p>
    <w:p>
      <w:pPr>
        <w:spacing w:after="0" w:line="240" w:lineRule="auto"/>
        <w:ind w:firstLine="478" w:firstLineChars="184"/>
        <w:jc w:val="both"/>
        <w:rPr>
          <w:color w:val="auto"/>
          <w:sz w:val="26"/>
          <w:szCs w:val="26"/>
          <w:highlight w:val="none"/>
        </w:rPr>
      </w:pPr>
      <w:r>
        <w:rPr>
          <w:color w:val="auto"/>
          <w:sz w:val="26"/>
          <w:szCs w:val="26"/>
          <w:highlight w:val="none"/>
        </w:rPr>
        <w:t>2.2.  Trồng mới, chăm sóc, bảo vệ rừng năm 1: 7</w:t>
      </w:r>
      <w:r>
        <w:rPr>
          <w:rFonts w:hint="default"/>
          <w:color w:val="auto"/>
          <w:sz w:val="26"/>
          <w:szCs w:val="26"/>
          <w:highlight w:val="none"/>
          <w:lang w:val="en-US"/>
        </w:rPr>
        <w:t>9,99</w:t>
      </w:r>
      <w:r>
        <w:rPr>
          <w:color w:val="auto"/>
          <w:sz w:val="26"/>
          <w:szCs w:val="26"/>
          <w:highlight w:val="none"/>
        </w:rPr>
        <w:t xml:space="preserve"> ha. </w:t>
      </w:r>
    </w:p>
    <w:p>
      <w:pPr>
        <w:spacing w:after="0" w:line="240" w:lineRule="auto"/>
        <w:ind w:firstLine="478" w:firstLineChars="184"/>
        <w:jc w:val="both"/>
        <w:rPr>
          <w:color w:val="auto"/>
          <w:sz w:val="26"/>
          <w:szCs w:val="26"/>
          <w:highlight w:val="none"/>
        </w:rPr>
      </w:pPr>
      <w:r>
        <w:rPr>
          <w:color w:val="auto"/>
          <w:sz w:val="26"/>
          <w:szCs w:val="26"/>
          <w:highlight w:val="none"/>
        </w:rPr>
        <w:t>- Keo lai (Bình Sơn): 11,85 ha.</w:t>
      </w:r>
    </w:p>
    <w:p>
      <w:pPr>
        <w:spacing w:after="0" w:line="240" w:lineRule="auto"/>
        <w:ind w:firstLine="478" w:firstLineChars="184"/>
        <w:jc w:val="both"/>
        <w:rPr>
          <w:color w:val="auto"/>
          <w:sz w:val="26"/>
          <w:szCs w:val="26"/>
          <w:highlight w:val="none"/>
        </w:rPr>
      </w:pPr>
      <w:r>
        <w:rPr>
          <w:color w:val="auto"/>
          <w:sz w:val="26"/>
          <w:szCs w:val="26"/>
          <w:highlight w:val="none"/>
        </w:rPr>
        <w:t>- Tràm cừ (Long An): 3</w:t>
      </w:r>
      <w:r>
        <w:rPr>
          <w:rFonts w:hint="default"/>
          <w:color w:val="auto"/>
          <w:sz w:val="26"/>
          <w:szCs w:val="26"/>
          <w:highlight w:val="none"/>
          <w:lang w:val="en-US"/>
        </w:rPr>
        <w:t>8,72</w:t>
      </w:r>
      <w:r>
        <w:rPr>
          <w:color w:val="auto"/>
          <w:sz w:val="26"/>
          <w:szCs w:val="26"/>
          <w:highlight w:val="none"/>
        </w:rPr>
        <w:t xml:space="preserve"> ha.</w:t>
      </w:r>
    </w:p>
    <w:p>
      <w:pPr>
        <w:spacing w:after="0" w:line="240" w:lineRule="auto"/>
        <w:ind w:firstLine="478" w:firstLineChars="184"/>
        <w:jc w:val="both"/>
        <w:rPr>
          <w:color w:val="auto"/>
          <w:sz w:val="26"/>
          <w:szCs w:val="26"/>
          <w:highlight w:val="none"/>
        </w:rPr>
      </w:pPr>
      <w:r>
        <w:rPr>
          <w:color w:val="auto"/>
          <w:sz w:val="26"/>
          <w:szCs w:val="26"/>
          <w:highlight w:val="none"/>
        </w:rPr>
        <w:t>- Tràm cừ + Keo (Long An từ năm 2020 chuyển qua): 29,42 ha.</w:t>
      </w:r>
    </w:p>
    <w:p>
      <w:pPr>
        <w:spacing w:after="0" w:line="240" w:lineRule="auto"/>
        <w:ind w:firstLine="478" w:firstLineChars="184"/>
        <w:jc w:val="both"/>
        <w:rPr>
          <w:color w:val="auto"/>
          <w:sz w:val="26"/>
          <w:szCs w:val="26"/>
          <w:highlight w:val="none"/>
        </w:rPr>
      </w:pPr>
      <w:r>
        <w:rPr>
          <w:color w:val="auto"/>
          <w:sz w:val="26"/>
          <w:szCs w:val="26"/>
          <w:highlight w:val="none"/>
        </w:rPr>
        <w:t>2.3. Chăm sóc rừng trồng năm 2, năm 3 : 42,56 ha, trong đó :</w:t>
      </w:r>
    </w:p>
    <w:p>
      <w:pPr>
        <w:spacing w:after="0" w:line="240" w:lineRule="auto"/>
        <w:ind w:firstLine="478" w:firstLineChars="184"/>
        <w:jc w:val="both"/>
        <w:rPr>
          <w:color w:val="auto"/>
          <w:sz w:val="26"/>
          <w:szCs w:val="26"/>
          <w:highlight w:val="none"/>
        </w:rPr>
      </w:pPr>
      <w:r>
        <w:rPr>
          <w:color w:val="auto"/>
          <w:sz w:val="26"/>
          <w:szCs w:val="26"/>
          <w:highlight w:val="none"/>
        </w:rPr>
        <w:t>- Rừng trồng năm 2 : 11,09 ha.</w:t>
      </w:r>
    </w:p>
    <w:p>
      <w:pPr>
        <w:spacing w:after="0" w:line="240" w:lineRule="auto"/>
        <w:ind w:firstLine="478" w:firstLineChars="184"/>
        <w:jc w:val="both"/>
        <w:rPr>
          <w:color w:val="auto"/>
          <w:sz w:val="26"/>
          <w:szCs w:val="26"/>
          <w:highlight w:val="none"/>
        </w:rPr>
      </w:pPr>
      <w:r>
        <w:rPr>
          <w:color w:val="auto"/>
          <w:sz w:val="26"/>
          <w:szCs w:val="26"/>
          <w:highlight w:val="none"/>
        </w:rPr>
        <w:t>- Rừng trồng năm 3 : 31,47 ha.</w:t>
      </w:r>
    </w:p>
    <w:p>
      <w:pPr>
        <w:spacing w:after="0" w:line="240" w:lineRule="auto"/>
        <w:ind w:firstLine="478" w:firstLineChars="184"/>
        <w:jc w:val="both"/>
        <w:rPr>
          <w:color w:val="auto"/>
          <w:sz w:val="26"/>
          <w:szCs w:val="26"/>
          <w:highlight w:val="none"/>
        </w:rPr>
      </w:pPr>
      <w:r>
        <w:rPr>
          <w:color w:val="auto"/>
          <w:sz w:val="26"/>
          <w:szCs w:val="26"/>
          <w:highlight w:val="none"/>
        </w:rPr>
        <w:t xml:space="preserve">2.4. Quản lý bảo vệ rừng từ năm 4 trở đi: </w:t>
      </w:r>
      <w:r>
        <w:rPr>
          <w:rFonts w:hint="default"/>
          <w:color w:val="auto"/>
          <w:sz w:val="26"/>
          <w:szCs w:val="26"/>
          <w:highlight w:val="none"/>
          <w:lang w:val="en-US"/>
        </w:rPr>
        <w:t>307,25</w:t>
      </w:r>
      <w:r>
        <w:rPr>
          <w:color w:val="auto"/>
          <w:sz w:val="26"/>
          <w:szCs w:val="26"/>
          <w:highlight w:val="none"/>
        </w:rPr>
        <w:t xml:space="preserve"> ha.</w:t>
      </w:r>
    </w:p>
    <w:p>
      <w:pPr>
        <w:spacing w:after="0" w:line="240" w:lineRule="auto"/>
        <w:ind w:firstLine="478" w:firstLineChars="184"/>
        <w:jc w:val="both"/>
        <w:rPr>
          <w:rFonts w:hint="default"/>
          <w:color w:val="auto"/>
          <w:sz w:val="26"/>
          <w:szCs w:val="26"/>
          <w:highlight w:val="none"/>
          <w:lang w:val="en-US"/>
        </w:rPr>
      </w:pPr>
      <w:r>
        <w:rPr>
          <w:color w:val="auto"/>
          <w:sz w:val="26"/>
          <w:szCs w:val="26"/>
          <w:highlight w:val="none"/>
        </w:rPr>
        <w:t>2.5. Khai thác rừng trồng : 7</w:t>
      </w:r>
      <w:r>
        <w:rPr>
          <w:rFonts w:hint="default"/>
          <w:color w:val="auto"/>
          <w:sz w:val="26"/>
          <w:szCs w:val="26"/>
          <w:highlight w:val="none"/>
          <w:lang w:val="en-US"/>
        </w:rPr>
        <w:t>9,99</w:t>
      </w:r>
      <w:r>
        <w:rPr>
          <w:color w:val="auto"/>
          <w:sz w:val="26"/>
          <w:szCs w:val="26"/>
          <w:highlight w:val="none"/>
        </w:rPr>
        <w:t xml:space="preserve"> ha</w:t>
      </w:r>
      <w:r>
        <w:rPr>
          <w:rFonts w:hint="default"/>
          <w:color w:val="auto"/>
          <w:sz w:val="26"/>
          <w:szCs w:val="26"/>
          <w:highlight w:val="none"/>
          <w:lang w:val="en-US"/>
        </w:rPr>
        <w:t>.</w:t>
      </w:r>
    </w:p>
    <w:p>
      <w:pPr>
        <w:spacing w:after="0" w:line="240" w:lineRule="auto"/>
        <w:ind w:firstLine="478" w:firstLineChars="184"/>
        <w:jc w:val="both"/>
        <w:rPr>
          <w:color w:val="auto"/>
          <w:sz w:val="26"/>
          <w:szCs w:val="26"/>
          <w:highlight w:val="none"/>
        </w:rPr>
      </w:pPr>
      <w:r>
        <w:rPr>
          <w:color w:val="auto"/>
          <w:sz w:val="26"/>
          <w:szCs w:val="26"/>
          <w:highlight w:val="none"/>
        </w:rPr>
        <w:t>2.6. Giữ hộ rừng Nhà nước : 314,68 ha.</w:t>
      </w:r>
    </w:p>
    <w:p>
      <w:pPr>
        <w:numPr>
          <w:ilvl w:val="0"/>
          <w:numId w:val="6"/>
        </w:numPr>
        <w:spacing w:after="0" w:line="240" w:lineRule="auto"/>
        <w:ind w:firstLine="479" w:firstLineChars="184"/>
        <w:jc w:val="both"/>
        <w:rPr>
          <w:b/>
          <w:bCs/>
          <w:color w:val="auto"/>
          <w:sz w:val="26"/>
          <w:szCs w:val="26"/>
          <w:highlight w:val="none"/>
        </w:rPr>
      </w:pPr>
      <w:r>
        <w:rPr>
          <w:b/>
          <w:bCs/>
          <w:color w:val="auto"/>
          <w:sz w:val="26"/>
          <w:szCs w:val="26"/>
          <w:highlight w:val="none"/>
        </w:rPr>
        <w:t>Một số nhiệm vụ khác :</w:t>
      </w:r>
    </w:p>
    <w:p>
      <w:pPr>
        <w:spacing w:after="0" w:line="240" w:lineRule="auto"/>
        <w:ind w:firstLine="478" w:firstLineChars="184"/>
        <w:jc w:val="both"/>
        <w:rPr>
          <w:color w:val="auto"/>
          <w:sz w:val="26"/>
          <w:szCs w:val="26"/>
          <w:highlight w:val="none"/>
        </w:rPr>
      </w:pPr>
      <w:r>
        <w:rPr>
          <w:color w:val="auto"/>
          <w:sz w:val="26"/>
          <w:szCs w:val="26"/>
          <w:highlight w:val="none"/>
        </w:rPr>
        <w:t>3.1. Tích cực tiếp cận các bên liên quan, các cơ quan quản lý Nhà nước để sớm được hoàn tất việc xin cấp giấy CNQSDĐ cho toàn bộ diện tích của Công ty đang quản lý tại Long An, Bình Phước và lập thủ tục xin miễn giảm tiền thuê đất theo diện ưu đãi đầu tư như quy định tại Nghị định 46/2014/NĐ-CP, Nghị định 123/2017/NĐ-CP  của Chính phủ. Đồng thời, lập Phương án để đề nghị nhận khoán đối với 166 ha rừng Tếch giữ hộ Nhà nước tại Trạm La Ngà.</w:t>
      </w:r>
    </w:p>
    <w:p>
      <w:pPr>
        <w:spacing w:after="0" w:line="240" w:lineRule="auto"/>
        <w:ind w:firstLine="478" w:firstLineChars="184"/>
        <w:jc w:val="both"/>
        <w:rPr>
          <w:rFonts w:hint="default"/>
          <w:color w:val="auto"/>
          <w:sz w:val="26"/>
          <w:szCs w:val="26"/>
          <w:highlight w:val="none"/>
          <w:lang w:val="en-US"/>
        </w:rPr>
      </w:pPr>
      <w:r>
        <w:rPr>
          <w:color w:val="auto"/>
          <w:sz w:val="26"/>
          <w:szCs w:val="26"/>
          <w:highlight w:val="none"/>
        </w:rPr>
        <w:t>3.2. Triển khai các bước tiếp theo về việc lập, thực hiện Dự án đầu tư xây dựng cao ốc Văn phòng kết hợp cho thuê tại 573 Nguyễn Kiệm, Q. Phú Nhuận, TP Hồ Chí Minh</w:t>
      </w:r>
      <w:r>
        <w:rPr>
          <w:rFonts w:hint="default"/>
          <w:color w:val="auto"/>
          <w:sz w:val="26"/>
          <w:szCs w:val="26"/>
          <w:highlight w:val="none"/>
          <w:lang w:val="en-US"/>
        </w:rPr>
        <w:t xml:space="preserve"> theo phương án xin sửa chữa, xây nhà tiền chế.</w:t>
      </w:r>
    </w:p>
    <w:p>
      <w:pPr>
        <w:spacing w:after="0" w:line="240" w:lineRule="auto"/>
        <w:ind w:firstLine="478" w:firstLineChars="184"/>
        <w:jc w:val="both"/>
        <w:rPr>
          <w:color w:val="auto"/>
          <w:sz w:val="26"/>
          <w:szCs w:val="26"/>
          <w:highlight w:val="none"/>
        </w:rPr>
      </w:pPr>
    </w:p>
    <w:p>
      <w:pPr>
        <w:spacing w:after="0" w:line="240" w:lineRule="auto"/>
        <w:ind w:firstLine="480"/>
        <w:rPr>
          <w:b/>
          <w:color w:val="auto"/>
          <w:sz w:val="26"/>
          <w:szCs w:val="26"/>
          <w:highlight w:val="none"/>
        </w:rPr>
      </w:pPr>
      <w:r>
        <w:rPr>
          <w:b/>
          <w:color w:val="auto"/>
          <w:sz w:val="26"/>
          <w:szCs w:val="26"/>
          <w:highlight w:val="none"/>
        </w:rPr>
        <w:t>III</w:t>
      </w:r>
      <w:r>
        <w:rPr>
          <w:b/>
          <w:color w:val="auto"/>
          <w:sz w:val="26"/>
          <w:szCs w:val="26"/>
          <w:highlight w:val="none"/>
          <w:lang w:val="vi-VN"/>
        </w:rPr>
        <w:t>. CÁC GIẢI PHÁP THỰC HIỆN KẾ HOẠCH SXKD NĂM 20</w:t>
      </w:r>
      <w:r>
        <w:rPr>
          <w:b/>
          <w:color w:val="auto"/>
          <w:sz w:val="26"/>
          <w:szCs w:val="26"/>
          <w:highlight w:val="none"/>
        </w:rPr>
        <w:t>21</w:t>
      </w:r>
    </w:p>
    <w:p>
      <w:pPr>
        <w:numPr>
          <w:ilvl w:val="0"/>
          <w:numId w:val="8"/>
        </w:numPr>
        <w:spacing w:after="0" w:line="240" w:lineRule="auto"/>
        <w:ind w:firstLine="479" w:firstLineChars="184"/>
        <w:jc w:val="both"/>
        <w:rPr>
          <w:b/>
          <w:bCs/>
          <w:color w:val="auto"/>
          <w:sz w:val="26"/>
          <w:szCs w:val="26"/>
          <w:highlight w:val="none"/>
        </w:rPr>
      </w:pPr>
      <w:r>
        <w:rPr>
          <w:b/>
          <w:bCs/>
          <w:color w:val="auto"/>
          <w:sz w:val="26"/>
          <w:szCs w:val="26"/>
          <w:highlight w:val="none"/>
        </w:rPr>
        <w:t>Giải pháp về Tổ chức, lao động, tiền lương :</w:t>
      </w:r>
    </w:p>
    <w:p>
      <w:pPr>
        <w:spacing w:after="0" w:line="240" w:lineRule="auto"/>
        <w:ind w:firstLine="478" w:firstLineChars="184"/>
        <w:jc w:val="both"/>
        <w:rPr>
          <w:color w:val="auto"/>
          <w:sz w:val="26"/>
          <w:szCs w:val="26"/>
          <w:highlight w:val="none"/>
        </w:rPr>
      </w:pPr>
      <w:r>
        <w:rPr>
          <w:color w:val="auto"/>
          <w:sz w:val="26"/>
          <w:szCs w:val="26"/>
          <w:highlight w:val="none"/>
        </w:rPr>
        <w:t>- Kiện toàn bộ máy quản lý, lãnh đạo từ Công ty đến các Trạm, bố trí đúng người, đúng việc. Thực hiện tốt công tác đào tạo, bồi dưỡng đội ngũ kế cận có đầy đủ năng lực, trình độ, kinh nghiệm và bản lĩnh để thực hiện tốt công tác SXKD hiện tại và mở rộng quy mô trong thời gian tới của Công ty.</w:t>
      </w:r>
    </w:p>
    <w:p>
      <w:pPr>
        <w:spacing w:after="0" w:line="240" w:lineRule="auto"/>
        <w:ind w:firstLine="478" w:firstLineChars="184"/>
        <w:jc w:val="both"/>
        <w:rPr>
          <w:color w:val="auto"/>
          <w:sz w:val="26"/>
          <w:szCs w:val="26"/>
          <w:highlight w:val="none"/>
        </w:rPr>
      </w:pPr>
      <w:r>
        <w:rPr>
          <w:color w:val="auto"/>
          <w:sz w:val="26"/>
          <w:szCs w:val="26"/>
          <w:highlight w:val="none"/>
        </w:rPr>
        <w:t>- Tăng cường sự phối hợp, đoàn kết thống nhất giữa HĐQT, Ban Giám đốc, Cấp ủy, Công đoàn cơ sở và người lao động trong việc thực hiện Nghị quyết của Đại hội đồng cổ đông, Nghị quyết hội nghị người lao động năm 2021 cũng như các quy chế nội bộ, các quy định của pháp luật.</w:t>
      </w:r>
    </w:p>
    <w:p>
      <w:pPr>
        <w:spacing w:after="0" w:line="240" w:lineRule="auto"/>
        <w:ind w:firstLine="478" w:firstLineChars="184"/>
        <w:jc w:val="both"/>
        <w:rPr>
          <w:color w:val="auto"/>
          <w:sz w:val="26"/>
          <w:szCs w:val="26"/>
          <w:highlight w:val="none"/>
        </w:rPr>
      </w:pPr>
      <w:r>
        <w:rPr>
          <w:color w:val="auto"/>
          <w:sz w:val="26"/>
          <w:szCs w:val="26"/>
          <w:highlight w:val="none"/>
        </w:rPr>
        <w:t>- Tăng cường công tác kiểm tra, giám sát để có biện pháp động viên, khuyến khích kịp thời những cá nhân làm tốt cũng như phát hiện và xử lý kịp thời những biểu hiện tiêu cực. Tạo điều kiện thuận lợi cho CBNV hoàn thành nhiệm vụ được giao.</w:t>
      </w:r>
    </w:p>
    <w:p>
      <w:pPr>
        <w:spacing w:after="0" w:line="240" w:lineRule="auto"/>
        <w:ind w:firstLine="478" w:firstLineChars="184"/>
        <w:jc w:val="both"/>
        <w:rPr>
          <w:color w:val="auto"/>
          <w:sz w:val="26"/>
          <w:szCs w:val="26"/>
          <w:highlight w:val="none"/>
        </w:rPr>
      </w:pPr>
      <w:r>
        <w:rPr>
          <w:color w:val="auto"/>
          <w:sz w:val="26"/>
          <w:szCs w:val="26"/>
          <w:highlight w:val="none"/>
        </w:rPr>
        <w:t>- Hoàn thiện hệ thống quy chế, quy định quản lý nội bộ để tăng cường hiệu lực quản lý, điều hành SXKD đúng Điều lệ, Pháp luật nhưng nhanh, gọn, hiệu quả.</w:t>
      </w:r>
    </w:p>
    <w:p>
      <w:pPr>
        <w:spacing w:after="0" w:line="240" w:lineRule="auto"/>
        <w:ind w:firstLine="478" w:firstLineChars="184"/>
        <w:jc w:val="both"/>
        <w:rPr>
          <w:color w:val="auto"/>
          <w:sz w:val="26"/>
          <w:szCs w:val="26"/>
          <w:highlight w:val="none"/>
        </w:rPr>
      </w:pPr>
      <w:r>
        <w:rPr>
          <w:color w:val="auto"/>
          <w:sz w:val="26"/>
          <w:szCs w:val="26"/>
          <w:highlight w:val="none"/>
        </w:rPr>
        <w:t>- Tiếp tục giữ vững mối quan hệ gắn kết, tranh thủ tối đa sự hỗ trợ giúp đỡ của các cổ đông, các cơ quan quản lý Nhà nước và chính quyền địa phương, nhất là trong công tác quản lý, bảo vệ, phòng chống cháy rừng.</w:t>
      </w:r>
    </w:p>
    <w:p>
      <w:pPr>
        <w:numPr>
          <w:ilvl w:val="0"/>
          <w:numId w:val="8"/>
        </w:numPr>
        <w:spacing w:after="0" w:line="240" w:lineRule="auto"/>
        <w:ind w:firstLine="479" w:firstLineChars="184"/>
        <w:jc w:val="both"/>
        <w:rPr>
          <w:b/>
          <w:bCs/>
          <w:color w:val="auto"/>
          <w:sz w:val="26"/>
          <w:szCs w:val="26"/>
          <w:highlight w:val="none"/>
        </w:rPr>
      </w:pPr>
      <w:r>
        <w:rPr>
          <w:b/>
          <w:bCs/>
          <w:color w:val="auto"/>
          <w:sz w:val="26"/>
          <w:szCs w:val="26"/>
          <w:highlight w:val="none"/>
        </w:rPr>
        <w:t>Giải pháp về Tài chính :</w:t>
      </w:r>
    </w:p>
    <w:p>
      <w:pPr>
        <w:spacing w:after="0" w:line="240" w:lineRule="auto"/>
        <w:ind w:firstLine="444" w:firstLineChars="171"/>
        <w:jc w:val="both"/>
        <w:rPr>
          <w:color w:val="auto"/>
          <w:sz w:val="26"/>
          <w:szCs w:val="26"/>
          <w:highlight w:val="none"/>
          <w:lang w:val="fr-FR"/>
        </w:rPr>
      </w:pPr>
      <w:r>
        <w:rPr>
          <w:color w:val="auto"/>
          <w:sz w:val="26"/>
          <w:szCs w:val="26"/>
          <w:highlight w:val="none"/>
          <w:lang w:val="fr-FR"/>
        </w:rPr>
        <w:t>- Thực hiện đúng chế độ quản lý, sử dụng vốn, tài sản, phân phối lợi nhuận, trích lập sử dụng các quỹ … và chế độ kế toán theo quy định của pháp luật.</w:t>
      </w:r>
    </w:p>
    <w:p>
      <w:pPr>
        <w:spacing w:after="0" w:line="240" w:lineRule="auto"/>
        <w:ind w:firstLine="444" w:firstLineChars="171"/>
        <w:jc w:val="both"/>
        <w:rPr>
          <w:color w:val="auto"/>
          <w:sz w:val="26"/>
          <w:szCs w:val="26"/>
          <w:highlight w:val="none"/>
          <w:lang w:val="fr-FR"/>
        </w:rPr>
      </w:pPr>
      <w:r>
        <w:rPr>
          <w:color w:val="auto"/>
          <w:sz w:val="26"/>
          <w:szCs w:val="26"/>
          <w:highlight w:val="none"/>
          <w:lang w:val="fr-FR"/>
        </w:rPr>
        <w:t>- Quản lý tốt các khoản nợ phải trả, phải thu</w:t>
      </w:r>
      <w:r>
        <w:rPr>
          <w:color w:val="auto"/>
          <w:sz w:val="26"/>
          <w:szCs w:val="26"/>
          <w:highlight w:val="none"/>
        </w:rPr>
        <w:t xml:space="preserve">, </w:t>
      </w:r>
      <w:r>
        <w:rPr>
          <w:color w:val="auto"/>
          <w:sz w:val="26"/>
          <w:szCs w:val="26"/>
          <w:highlight w:val="none"/>
          <w:lang w:val="fr-FR"/>
        </w:rPr>
        <w:t xml:space="preserve">không </w:t>
      </w:r>
      <w:r>
        <w:rPr>
          <w:color w:val="auto"/>
          <w:sz w:val="26"/>
          <w:szCs w:val="26"/>
          <w:highlight w:val="none"/>
        </w:rPr>
        <w:t xml:space="preserve">để </w:t>
      </w:r>
      <w:r>
        <w:rPr>
          <w:color w:val="auto"/>
          <w:sz w:val="26"/>
          <w:szCs w:val="26"/>
          <w:highlight w:val="none"/>
          <w:lang w:val="fr-FR"/>
        </w:rPr>
        <w:t>phát sinh nợ quá hạn, nợ khó đòi.</w:t>
      </w:r>
    </w:p>
    <w:p>
      <w:pPr>
        <w:spacing w:after="0" w:line="240" w:lineRule="auto"/>
        <w:ind w:firstLine="444" w:firstLineChars="171"/>
        <w:jc w:val="both"/>
        <w:rPr>
          <w:color w:val="auto"/>
          <w:sz w:val="26"/>
          <w:szCs w:val="26"/>
          <w:highlight w:val="none"/>
        </w:rPr>
      </w:pPr>
      <w:r>
        <w:rPr>
          <w:color w:val="auto"/>
          <w:sz w:val="26"/>
          <w:szCs w:val="26"/>
          <w:highlight w:val="none"/>
          <w:lang w:val="fr-FR"/>
        </w:rPr>
        <w:t>- Tuân thủ đúng chế độ kiểm kê tài sản định kỳ</w:t>
      </w:r>
      <w:r>
        <w:rPr>
          <w:color w:val="auto"/>
          <w:sz w:val="26"/>
          <w:szCs w:val="26"/>
          <w:highlight w:val="none"/>
        </w:rPr>
        <w:t>, t</w:t>
      </w:r>
      <w:r>
        <w:rPr>
          <w:color w:val="auto"/>
          <w:sz w:val="26"/>
          <w:szCs w:val="26"/>
          <w:highlight w:val="none"/>
          <w:lang w:val="fr-FR"/>
        </w:rPr>
        <w:t>rích khấu hao tài sản</w:t>
      </w:r>
      <w:r>
        <w:rPr>
          <w:color w:val="auto"/>
          <w:sz w:val="26"/>
          <w:szCs w:val="26"/>
          <w:highlight w:val="none"/>
        </w:rPr>
        <w:t xml:space="preserve">, quản lý hàng tồn kho </w:t>
      </w:r>
      <w:r>
        <w:rPr>
          <w:color w:val="auto"/>
          <w:sz w:val="26"/>
          <w:szCs w:val="26"/>
          <w:highlight w:val="none"/>
          <w:lang w:val="fr-FR"/>
        </w:rPr>
        <w:t>theo đúng quy định</w:t>
      </w:r>
      <w:r>
        <w:rPr>
          <w:color w:val="auto"/>
          <w:sz w:val="26"/>
          <w:szCs w:val="26"/>
          <w:highlight w:val="none"/>
        </w:rPr>
        <w:t>.</w:t>
      </w:r>
    </w:p>
    <w:p>
      <w:pPr>
        <w:spacing w:after="0" w:line="240" w:lineRule="auto"/>
        <w:ind w:firstLine="444" w:firstLineChars="171"/>
        <w:jc w:val="both"/>
        <w:rPr>
          <w:color w:val="auto"/>
          <w:sz w:val="26"/>
          <w:szCs w:val="26"/>
          <w:highlight w:val="none"/>
        </w:rPr>
      </w:pPr>
      <w:r>
        <w:rPr>
          <w:color w:val="auto"/>
          <w:sz w:val="26"/>
          <w:szCs w:val="26"/>
          <w:highlight w:val="none"/>
          <w:lang w:val="fr-FR"/>
        </w:rPr>
        <w:t xml:space="preserve">- Quản lý </w:t>
      </w:r>
      <w:r>
        <w:rPr>
          <w:color w:val="auto"/>
          <w:sz w:val="26"/>
          <w:szCs w:val="26"/>
          <w:highlight w:val="none"/>
        </w:rPr>
        <w:t>chặt chẽ</w:t>
      </w:r>
      <w:r>
        <w:rPr>
          <w:color w:val="auto"/>
          <w:sz w:val="26"/>
          <w:szCs w:val="26"/>
          <w:highlight w:val="none"/>
          <w:lang w:val="fr-FR"/>
        </w:rPr>
        <w:t>, hạch toán đầy đủ, chính xác</w:t>
      </w:r>
      <w:r>
        <w:rPr>
          <w:color w:val="auto"/>
          <w:sz w:val="26"/>
          <w:szCs w:val="26"/>
          <w:highlight w:val="none"/>
        </w:rPr>
        <w:t xml:space="preserve"> để tăng </w:t>
      </w:r>
      <w:r>
        <w:rPr>
          <w:color w:val="auto"/>
          <w:sz w:val="26"/>
          <w:szCs w:val="26"/>
          <w:highlight w:val="none"/>
          <w:lang w:val="fr-FR"/>
        </w:rPr>
        <w:t xml:space="preserve">doanh thu </w:t>
      </w:r>
      <w:r>
        <w:rPr>
          <w:color w:val="auto"/>
          <w:sz w:val="26"/>
          <w:szCs w:val="26"/>
          <w:highlight w:val="none"/>
        </w:rPr>
        <w:t>và thu nhập khác.</w:t>
      </w:r>
    </w:p>
    <w:p>
      <w:pPr>
        <w:spacing w:after="0" w:line="240" w:lineRule="auto"/>
        <w:ind w:firstLine="444" w:firstLineChars="171"/>
        <w:jc w:val="both"/>
        <w:rPr>
          <w:color w:val="auto"/>
          <w:sz w:val="26"/>
          <w:szCs w:val="26"/>
          <w:highlight w:val="none"/>
          <w:lang w:val="fr-FR"/>
        </w:rPr>
      </w:pPr>
      <w:r>
        <w:rPr>
          <w:color w:val="auto"/>
          <w:sz w:val="26"/>
          <w:szCs w:val="26"/>
          <w:highlight w:val="none"/>
        </w:rPr>
        <w:t>- Q</w:t>
      </w:r>
      <w:r>
        <w:rPr>
          <w:color w:val="auto"/>
          <w:sz w:val="26"/>
          <w:szCs w:val="26"/>
          <w:highlight w:val="none"/>
          <w:lang w:val="fr-FR"/>
        </w:rPr>
        <w:t xml:space="preserve">uản lý chặt chẽ các khoản chi phí để giảm chi phí, hạ giá thành sản phẩm, tăng lợi nhuận. </w:t>
      </w:r>
      <w:r>
        <w:rPr>
          <w:color w:val="auto"/>
          <w:sz w:val="26"/>
          <w:szCs w:val="26"/>
          <w:highlight w:val="none"/>
        </w:rPr>
        <w:t>Phấn đấu tiết giảm 5-10% chi phí quản lý.</w:t>
      </w:r>
    </w:p>
    <w:p>
      <w:pPr>
        <w:numPr>
          <w:ilvl w:val="0"/>
          <w:numId w:val="8"/>
        </w:numPr>
        <w:spacing w:after="0" w:line="240" w:lineRule="auto"/>
        <w:ind w:firstLine="479" w:firstLineChars="184"/>
        <w:jc w:val="both"/>
        <w:rPr>
          <w:b/>
          <w:bCs/>
          <w:color w:val="auto"/>
          <w:sz w:val="26"/>
          <w:szCs w:val="26"/>
          <w:highlight w:val="none"/>
        </w:rPr>
      </w:pPr>
      <w:r>
        <w:rPr>
          <w:b/>
          <w:bCs/>
          <w:color w:val="auto"/>
          <w:sz w:val="26"/>
          <w:szCs w:val="26"/>
          <w:highlight w:val="none"/>
        </w:rPr>
        <w:t>Đối với công tác giống :</w:t>
      </w:r>
    </w:p>
    <w:p>
      <w:pPr>
        <w:spacing w:after="0" w:line="240" w:lineRule="auto"/>
        <w:ind w:firstLine="478" w:firstLineChars="184"/>
        <w:jc w:val="both"/>
        <w:rPr>
          <w:color w:val="auto"/>
          <w:sz w:val="26"/>
          <w:szCs w:val="26"/>
          <w:highlight w:val="none"/>
        </w:rPr>
      </w:pPr>
      <w:r>
        <w:rPr>
          <w:color w:val="auto"/>
          <w:sz w:val="26"/>
          <w:szCs w:val="26"/>
          <w:highlight w:val="none"/>
        </w:rPr>
        <w:t xml:space="preserve">- Tăng cường tìm kiếm, ký kết hợp đồng với khách hàng, duy trì và nâng cao công suất sản xuất tại Xưởng mô Long Thành, Vườn ươm Bình Sơn theo hướng ưu tiên sản xuất các dòng Keo lai mới AH1, AH7. </w:t>
      </w:r>
    </w:p>
    <w:p>
      <w:pPr>
        <w:spacing w:after="0" w:line="240" w:lineRule="auto"/>
        <w:ind w:firstLine="478" w:firstLineChars="184"/>
        <w:jc w:val="both"/>
        <w:rPr>
          <w:color w:val="auto"/>
          <w:sz w:val="26"/>
          <w:szCs w:val="26"/>
          <w:highlight w:val="none"/>
        </w:rPr>
      </w:pPr>
      <w:r>
        <w:rPr>
          <w:color w:val="auto"/>
          <w:sz w:val="26"/>
          <w:szCs w:val="26"/>
          <w:highlight w:val="none"/>
        </w:rPr>
        <w:t>- Duy trì giống gốc, tăng cường việc đào tạo, đào tạo lại nhân lực để đáp ứng đủ nhu cầu sản xuất và nhu cầu tiếp nhận chuyển giao công nghệ các dòng giống mới.</w:t>
      </w:r>
    </w:p>
    <w:p>
      <w:pPr>
        <w:spacing w:after="0" w:line="240" w:lineRule="auto"/>
        <w:ind w:firstLine="478" w:firstLineChars="184"/>
        <w:jc w:val="both"/>
        <w:rPr>
          <w:rFonts w:hint="default"/>
          <w:color w:val="auto"/>
          <w:sz w:val="26"/>
          <w:szCs w:val="26"/>
          <w:highlight w:val="none"/>
          <w:lang w:val="en-US"/>
        </w:rPr>
      </w:pPr>
      <w:r>
        <w:rPr>
          <w:rFonts w:hint="default"/>
          <w:color w:val="auto"/>
          <w:sz w:val="26"/>
          <w:szCs w:val="26"/>
          <w:highlight w:val="none"/>
          <w:lang w:val="en-US"/>
        </w:rPr>
        <w:t>- Chuyển hóa rừng giống Keo tai tượng và Keo lá tràm tại Trạm Bình Sơn để xin chứng nhận rừng giống.</w:t>
      </w:r>
    </w:p>
    <w:p>
      <w:pPr>
        <w:spacing w:after="0" w:line="240" w:lineRule="auto"/>
        <w:ind w:firstLine="478" w:firstLineChars="184"/>
        <w:jc w:val="both"/>
        <w:rPr>
          <w:color w:val="auto"/>
          <w:sz w:val="26"/>
          <w:szCs w:val="26"/>
          <w:highlight w:val="none"/>
        </w:rPr>
      </w:pPr>
      <w:r>
        <w:rPr>
          <w:color w:val="auto"/>
          <w:sz w:val="26"/>
          <w:szCs w:val="26"/>
          <w:highlight w:val="none"/>
        </w:rPr>
        <w:t>- Chú trọng nâng cao chất lượng cây giống, phát huy sáng kiến, cải tiến kỹ thuật của người lao động để nâng cao năng suất lao động. Tiết kiệm tối đa chi phí sản xuất, hạ giá thành sản phẩm để có thể cạnh tranh về giá bán cây giống.</w:t>
      </w:r>
    </w:p>
    <w:p>
      <w:pPr>
        <w:spacing w:after="0" w:line="240" w:lineRule="auto"/>
        <w:ind w:firstLine="478" w:firstLineChars="184"/>
        <w:jc w:val="both"/>
        <w:rPr>
          <w:color w:val="auto"/>
          <w:sz w:val="26"/>
          <w:szCs w:val="26"/>
          <w:highlight w:val="none"/>
        </w:rPr>
      </w:pPr>
      <w:r>
        <w:rPr>
          <w:color w:val="auto"/>
          <w:sz w:val="26"/>
          <w:szCs w:val="26"/>
          <w:highlight w:val="none"/>
        </w:rPr>
        <w:t xml:space="preserve">-  </w:t>
      </w:r>
      <w:r>
        <w:rPr>
          <w:rFonts w:hint="default"/>
          <w:color w:val="auto"/>
          <w:sz w:val="26"/>
          <w:szCs w:val="26"/>
          <w:highlight w:val="none"/>
          <w:lang w:val="en-US"/>
        </w:rPr>
        <w:t>Nâng cấp Trạm Long Thành, t</w:t>
      </w:r>
      <w:r>
        <w:rPr>
          <w:color w:val="auto"/>
          <w:sz w:val="26"/>
          <w:szCs w:val="26"/>
          <w:highlight w:val="none"/>
        </w:rPr>
        <w:t>ăng cường thêm trang thiết bị máy móc phù hợp, nâng công suất máy biến áp điện để đáp ứng nhu cầu sản xuất.</w:t>
      </w:r>
    </w:p>
    <w:p>
      <w:pPr>
        <w:numPr>
          <w:ilvl w:val="0"/>
          <w:numId w:val="8"/>
        </w:numPr>
        <w:spacing w:after="0" w:line="240" w:lineRule="auto"/>
        <w:ind w:firstLine="479" w:firstLineChars="184"/>
        <w:jc w:val="both"/>
        <w:rPr>
          <w:b/>
          <w:bCs/>
          <w:color w:val="auto"/>
          <w:sz w:val="26"/>
          <w:szCs w:val="26"/>
          <w:highlight w:val="none"/>
        </w:rPr>
      </w:pPr>
      <w:r>
        <w:rPr>
          <w:b/>
          <w:bCs/>
          <w:color w:val="auto"/>
          <w:sz w:val="26"/>
          <w:szCs w:val="26"/>
          <w:highlight w:val="none"/>
          <w:lang w:val="vi-VN"/>
        </w:rPr>
        <w:t>Trồng</w:t>
      </w:r>
      <w:r>
        <w:rPr>
          <w:b/>
          <w:bCs/>
          <w:color w:val="auto"/>
          <w:sz w:val="26"/>
          <w:szCs w:val="26"/>
          <w:highlight w:val="none"/>
        </w:rPr>
        <w:t xml:space="preserve">, </w:t>
      </w:r>
      <w:r>
        <w:rPr>
          <w:b/>
          <w:bCs/>
          <w:color w:val="auto"/>
          <w:sz w:val="26"/>
          <w:szCs w:val="26"/>
          <w:highlight w:val="none"/>
          <w:lang w:val="vi-VN"/>
        </w:rPr>
        <w:t xml:space="preserve">chăm sóc rừng trồng </w:t>
      </w:r>
      <w:r>
        <w:rPr>
          <w:b/>
          <w:bCs/>
          <w:color w:val="auto"/>
          <w:sz w:val="26"/>
          <w:szCs w:val="26"/>
          <w:highlight w:val="none"/>
        </w:rPr>
        <w:t>:</w:t>
      </w:r>
    </w:p>
    <w:p>
      <w:pPr>
        <w:spacing w:after="0" w:line="240" w:lineRule="auto"/>
        <w:ind w:firstLine="478" w:firstLineChars="184"/>
        <w:jc w:val="both"/>
        <w:rPr>
          <w:color w:val="auto"/>
          <w:sz w:val="26"/>
          <w:szCs w:val="26"/>
          <w:highlight w:val="none"/>
        </w:rPr>
      </w:pPr>
      <w:r>
        <w:rPr>
          <w:color w:val="auto"/>
          <w:sz w:val="26"/>
          <w:szCs w:val="26"/>
          <w:highlight w:val="none"/>
        </w:rPr>
        <w:t>- Chủ động làm tốt công tác chuẩn bị : Thiết kế-dự toán, cây giống, vốn đầu tư, làm đất trồng rừng.</w:t>
      </w:r>
    </w:p>
    <w:p>
      <w:pPr>
        <w:spacing w:after="0" w:line="240" w:lineRule="auto"/>
        <w:ind w:firstLine="478" w:firstLineChars="184"/>
        <w:jc w:val="both"/>
        <w:rPr>
          <w:rFonts w:hint="default"/>
          <w:color w:val="auto"/>
          <w:sz w:val="26"/>
          <w:szCs w:val="26"/>
          <w:highlight w:val="none"/>
          <w:lang w:val="en-US"/>
        </w:rPr>
      </w:pPr>
      <w:r>
        <w:rPr>
          <w:color w:val="auto"/>
          <w:sz w:val="26"/>
          <w:szCs w:val="26"/>
          <w:highlight w:val="none"/>
        </w:rPr>
        <w:t>- Thực hiện tốt việc kiểm tra, giám sát thi công, thực hiện nghiêm quy định về nghiệm thu, thanh toán các hạng mục lâm sinh.</w:t>
      </w:r>
    </w:p>
    <w:p>
      <w:pPr>
        <w:spacing w:after="0" w:line="240" w:lineRule="auto"/>
        <w:ind w:firstLine="479" w:firstLineChars="184"/>
        <w:jc w:val="both"/>
        <w:rPr>
          <w:b/>
          <w:bCs/>
          <w:color w:val="auto"/>
          <w:sz w:val="26"/>
          <w:szCs w:val="26"/>
          <w:highlight w:val="none"/>
        </w:rPr>
      </w:pPr>
      <w:r>
        <w:rPr>
          <w:b/>
          <w:bCs/>
          <w:color w:val="auto"/>
          <w:sz w:val="26"/>
          <w:szCs w:val="26"/>
          <w:highlight w:val="none"/>
        </w:rPr>
        <w:t>5. Khai thác rừng trồng :</w:t>
      </w:r>
    </w:p>
    <w:p>
      <w:pPr>
        <w:spacing w:after="0" w:line="240" w:lineRule="auto"/>
        <w:ind w:firstLine="478" w:firstLineChars="184"/>
        <w:jc w:val="both"/>
        <w:rPr>
          <w:color w:val="auto"/>
          <w:sz w:val="26"/>
          <w:szCs w:val="26"/>
          <w:highlight w:val="none"/>
        </w:rPr>
      </w:pPr>
      <w:r>
        <w:rPr>
          <w:color w:val="auto"/>
          <w:sz w:val="26"/>
          <w:szCs w:val="26"/>
          <w:highlight w:val="none"/>
        </w:rPr>
        <w:t>- Thiết kế, thẩm định và phê duyệt đúng quy định.</w:t>
      </w:r>
    </w:p>
    <w:p>
      <w:pPr>
        <w:spacing w:after="0" w:line="240" w:lineRule="auto"/>
        <w:ind w:firstLine="478" w:firstLineChars="184"/>
        <w:jc w:val="both"/>
        <w:rPr>
          <w:color w:val="auto"/>
          <w:sz w:val="26"/>
          <w:szCs w:val="26"/>
          <w:highlight w:val="none"/>
        </w:rPr>
      </w:pPr>
      <w:r>
        <w:rPr>
          <w:color w:val="auto"/>
          <w:sz w:val="26"/>
          <w:szCs w:val="26"/>
          <w:highlight w:val="none"/>
        </w:rPr>
        <w:t>- Thực hiện bán bán đấu giá cây đứng đúng quy định pháp luật và Quy chế bán đấu giá của Công ty.</w:t>
      </w:r>
    </w:p>
    <w:p>
      <w:pPr>
        <w:spacing w:after="0" w:line="240" w:lineRule="auto"/>
        <w:ind w:firstLine="478" w:firstLineChars="184"/>
        <w:jc w:val="both"/>
        <w:rPr>
          <w:color w:val="auto"/>
          <w:sz w:val="26"/>
          <w:szCs w:val="26"/>
          <w:highlight w:val="none"/>
        </w:rPr>
      </w:pPr>
      <w:r>
        <w:rPr>
          <w:color w:val="auto"/>
          <w:sz w:val="26"/>
          <w:szCs w:val="26"/>
          <w:highlight w:val="none"/>
        </w:rPr>
        <w:t>- Đôn đốc, giám sát khai thác chặt chẽ để tránh khai thác nhầm lẫn ngoài ranh giới thiết kế, tiến độ khai thác phải đảm bảo thời vụ làm đất trồng lại rừng.</w:t>
      </w:r>
    </w:p>
    <w:p>
      <w:pPr>
        <w:spacing w:after="0" w:line="240" w:lineRule="auto"/>
        <w:ind w:left="442" w:leftChars="184"/>
        <w:jc w:val="both"/>
        <w:rPr>
          <w:b/>
          <w:bCs/>
          <w:color w:val="auto"/>
          <w:sz w:val="26"/>
          <w:szCs w:val="26"/>
          <w:highlight w:val="none"/>
        </w:rPr>
      </w:pPr>
      <w:r>
        <w:rPr>
          <w:b/>
          <w:bCs/>
          <w:color w:val="auto"/>
          <w:sz w:val="26"/>
          <w:szCs w:val="26"/>
          <w:highlight w:val="none"/>
        </w:rPr>
        <w:t>6. Quản lý, bảo vệ, PCCR :</w:t>
      </w:r>
    </w:p>
    <w:p>
      <w:pPr>
        <w:spacing w:after="0" w:line="240" w:lineRule="auto"/>
        <w:ind w:firstLine="478" w:firstLineChars="184"/>
        <w:jc w:val="both"/>
        <w:rPr>
          <w:color w:val="auto"/>
          <w:sz w:val="26"/>
          <w:szCs w:val="26"/>
          <w:highlight w:val="none"/>
        </w:rPr>
      </w:pPr>
      <w:r>
        <w:rPr>
          <w:color w:val="auto"/>
          <w:sz w:val="26"/>
          <w:szCs w:val="26"/>
          <w:highlight w:val="none"/>
        </w:rPr>
        <w:t>- Ban hành và triển khai thực hiện quy chế về QLBVR của Công ty để quy định rõ trách nhiệm, quyền hạn, quyền lợi của bộ phận, cá nhân trong Công ty. Rà soát để bổ sung mốc, ranh giới đất đai của Công ty rõ ràng, tránh bị lấn chiếm.</w:t>
      </w:r>
    </w:p>
    <w:p>
      <w:pPr>
        <w:spacing w:after="0" w:line="240" w:lineRule="auto"/>
        <w:ind w:firstLine="478" w:firstLineChars="184"/>
        <w:jc w:val="both"/>
        <w:rPr>
          <w:color w:val="auto"/>
          <w:sz w:val="26"/>
          <w:szCs w:val="26"/>
          <w:highlight w:val="none"/>
        </w:rPr>
      </w:pPr>
      <w:r>
        <w:rPr>
          <w:color w:val="auto"/>
          <w:sz w:val="26"/>
          <w:szCs w:val="26"/>
          <w:highlight w:val="none"/>
        </w:rPr>
        <w:t xml:space="preserve">- Hoàn thiện hồ sơ quản lý, trên cơ sở đó tiến hành lập biên bản giao nhận cụ thể với từng Trạm, nhân viên BVR được giao QLBVR khu vực. </w:t>
      </w:r>
    </w:p>
    <w:p>
      <w:pPr>
        <w:spacing w:after="0" w:line="240" w:lineRule="auto"/>
        <w:ind w:firstLine="478" w:firstLineChars="184"/>
        <w:jc w:val="both"/>
        <w:rPr>
          <w:color w:val="auto"/>
          <w:sz w:val="26"/>
          <w:szCs w:val="26"/>
          <w:highlight w:val="none"/>
        </w:rPr>
      </w:pPr>
      <w:r>
        <w:rPr>
          <w:color w:val="auto"/>
          <w:sz w:val="26"/>
          <w:szCs w:val="26"/>
          <w:highlight w:val="none"/>
        </w:rPr>
        <w:t>- Tổ chức tập huấn nghiệp vụ cho lực lượng bảo vệ rừng theo quy định của Bộ NN-PTNT.</w:t>
      </w:r>
    </w:p>
    <w:p>
      <w:pPr>
        <w:spacing w:after="0" w:line="240" w:lineRule="auto"/>
        <w:ind w:firstLine="478" w:firstLineChars="184"/>
        <w:jc w:val="both"/>
        <w:rPr>
          <w:color w:val="auto"/>
          <w:sz w:val="26"/>
          <w:szCs w:val="26"/>
          <w:highlight w:val="none"/>
        </w:rPr>
      </w:pPr>
      <w:r>
        <w:rPr>
          <w:color w:val="auto"/>
          <w:sz w:val="26"/>
          <w:szCs w:val="26"/>
          <w:highlight w:val="none"/>
        </w:rPr>
        <w:t>- Tăng cường phối hợp với các cơ quan chức năng địa phương để tuyên truyền về công tác QLBVR, ngăn chặn và xử lý kịp thời các vụ việc vi phạm.</w:t>
      </w:r>
    </w:p>
    <w:p>
      <w:pPr>
        <w:spacing w:after="0" w:line="240" w:lineRule="auto"/>
        <w:ind w:firstLine="478" w:firstLineChars="184"/>
        <w:jc w:val="both"/>
        <w:rPr>
          <w:color w:val="auto"/>
          <w:sz w:val="26"/>
          <w:szCs w:val="26"/>
          <w:highlight w:val="none"/>
        </w:rPr>
      </w:pPr>
      <w:r>
        <w:rPr>
          <w:color w:val="auto"/>
          <w:sz w:val="26"/>
          <w:szCs w:val="26"/>
          <w:highlight w:val="none"/>
          <w:lang w:val="vi-VN"/>
        </w:rPr>
        <w:t xml:space="preserve">- </w:t>
      </w:r>
      <w:r>
        <w:rPr>
          <w:color w:val="auto"/>
          <w:sz w:val="26"/>
          <w:szCs w:val="26"/>
          <w:highlight w:val="none"/>
        </w:rPr>
        <w:t>Trang bị đầy đủ công cụ dụng cụ để các Trạm t</w:t>
      </w:r>
      <w:r>
        <w:rPr>
          <w:color w:val="auto"/>
          <w:sz w:val="26"/>
          <w:szCs w:val="26"/>
          <w:highlight w:val="none"/>
          <w:lang w:val="vi-VN"/>
        </w:rPr>
        <w:t xml:space="preserve">hực hiện tốt </w:t>
      </w:r>
      <w:r>
        <w:rPr>
          <w:color w:val="auto"/>
          <w:sz w:val="26"/>
          <w:szCs w:val="26"/>
          <w:highlight w:val="none"/>
        </w:rPr>
        <w:t>công tác</w:t>
      </w:r>
      <w:r>
        <w:rPr>
          <w:color w:val="auto"/>
          <w:sz w:val="26"/>
          <w:szCs w:val="26"/>
          <w:highlight w:val="none"/>
          <w:lang w:val="vi-VN"/>
        </w:rPr>
        <w:t xml:space="preserve"> PCCCR mùa khô </w:t>
      </w:r>
      <w:r>
        <w:rPr>
          <w:color w:val="auto"/>
          <w:sz w:val="26"/>
          <w:szCs w:val="26"/>
          <w:highlight w:val="none"/>
        </w:rPr>
        <w:t xml:space="preserve">năm 2020-2021 theo phương án đã được phê duyệt. </w:t>
      </w:r>
    </w:p>
    <w:p>
      <w:pPr>
        <w:spacing w:after="0" w:line="240" w:lineRule="auto"/>
        <w:ind w:firstLine="479" w:firstLineChars="184"/>
        <w:jc w:val="both"/>
        <w:rPr>
          <w:b/>
          <w:bCs/>
          <w:color w:val="auto"/>
          <w:sz w:val="26"/>
          <w:szCs w:val="26"/>
          <w:highlight w:val="none"/>
        </w:rPr>
      </w:pPr>
      <w:r>
        <w:rPr>
          <w:b/>
          <w:bCs/>
          <w:color w:val="auto"/>
          <w:sz w:val="26"/>
          <w:szCs w:val="26"/>
          <w:highlight w:val="none"/>
        </w:rPr>
        <w:t>7</w:t>
      </w:r>
      <w:r>
        <w:rPr>
          <w:b/>
          <w:bCs/>
          <w:color w:val="auto"/>
          <w:sz w:val="26"/>
          <w:szCs w:val="26"/>
          <w:highlight w:val="none"/>
          <w:lang w:val="vi-VN"/>
        </w:rPr>
        <w:t>. Công tác chăm lo đời số</w:t>
      </w:r>
      <w:r>
        <w:rPr>
          <w:b/>
          <w:bCs/>
          <w:color w:val="auto"/>
          <w:sz w:val="26"/>
          <w:szCs w:val="26"/>
          <w:highlight w:val="none"/>
        </w:rPr>
        <w:t xml:space="preserve">ng, thực hiện chế độ chính sách đối với </w:t>
      </w:r>
      <w:r>
        <w:rPr>
          <w:b/>
          <w:bCs/>
          <w:color w:val="auto"/>
          <w:sz w:val="26"/>
          <w:szCs w:val="26"/>
          <w:highlight w:val="none"/>
          <w:lang w:val="vi-VN"/>
        </w:rPr>
        <w:t>người lao động</w:t>
      </w:r>
    </w:p>
    <w:p>
      <w:pPr>
        <w:spacing w:after="0" w:line="240" w:lineRule="auto"/>
        <w:ind w:firstLine="478" w:firstLineChars="184"/>
        <w:jc w:val="both"/>
        <w:rPr>
          <w:color w:val="auto"/>
          <w:sz w:val="26"/>
          <w:szCs w:val="26"/>
          <w:highlight w:val="none"/>
          <w:lang w:val="vi-VN"/>
        </w:rPr>
      </w:pPr>
      <w:r>
        <w:rPr>
          <w:color w:val="auto"/>
          <w:sz w:val="26"/>
          <w:szCs w:val="26"/>
          <w:highlight w:val="none"/>
          <w:lang w:val="vi-VN"/>
        </w:rPr>
        <w:t xml:space="preserve">- </w:t>
      </w:r>
      <w:r>
        <w:rPr>
          <w:color w:val="auto"/>
          <w:sz w:val="26"/>
          <w:szCs w:val="26"/>
          <w:highlight w:val="none"/>
        </w:rPr>
        <w:t>Chi</w:t>
      </w:r>
      <w:r>
        <w:rPr>
          <w:color w:val="auto"/>
          <w:sz w:val="26"/>
          <w:szCs w:val="26"/>
          <w:highlight w:val="none"/>
          <w:lang w:val="vi-VN"/>
        </w:rPr>
        <w:t xml:space="preserve"> trả lương, đóng BHXH, BHYT, BHTN và chi trả các chế độ liên quan đầy đủ kịp thời cho người lao động.</w:t>
      </w:r>
    </w:p>
    <w:p>
      <w:pPr>
        <w:spacing w:after="0" w:line="240" w:lineRule="auto"/>
        <w:ind w:firstLine="478" w:firstLineChars="184"/>
        <w:jc w:val="both"/>
        <w:rPr>
          <w:color w:val="auto"/>
          <w:sz w:val="26"/>
          <w:szCs w:val="26"/>
          <w:highlight w:val="none"/>
        </w:rPr>
      </w:pPr>
      <w:r>
        <w:rPr>
          <w:color w:val="auto"/>
          <w:sz w:val="26"/>
          <w:szCs w:val="26"/>
          <w:highlight w:val="none"/>
        </w:rPr>
        <w:t>- Thực hiện nghiêm quy định về công tác bảo hộ lao động.</w:t>
      </w:r>
    </w:p>
    <w:p>
      <w:pPr>
        <w:spacing w:after="0" w:line="240" w:lineRule="auto"/>
        <w:ind w:firstLine="478" w:firstLineChars="184"/>
        <w:jc w:val="both"/>
        <w:rPr>
          <w:rFonts w:hint="default"/>
          <w:color w:val="auto"/>
          <w:sz w:val="26"/>
          <w:szCs w:val="26"/>
          <w:highlight w:val="none"/>
          <w:lang w:val="en-US"/>
        </w:rPr>
      </w:pPr>
      <w:r>
        <w:rPr>
          <w:rFonts w:hint="default"/>
          <w:color w:val="auto"/>
          <w:sz w:val="26"/>
          <w:szCs w:val="26"/>
          <w:highlight w:val="none"/>
          <w:lang w:val="en-US"/>
        </w:rPr>
        <w:t>- Rà soát sửa chữa các hạng mục đã xuống cấp tại Văn phòng Công ty và các Trạm trực thuộc, tổ chức phát động phong trào cơ quan xanh - sạch - đẹp.</w:t>
      </w:r>
    </w:p>
    <w:p>
      <w:pPr>
        <w:spacing w:after="0" w:line="240" w:lineRule="auto"/>
        <w:ind w:firstLine="478" w:firstLineChars="184"/>
        <w:jc w:val="both"/>
        <w:rPr>
          <w:color w:val="auto"/>
          <w:sz w:val="26"/>
          <w:szCs w:val="26"/>
          <w:highlight w:val="none"/>
          <w:lang w:val="vi-VN"/>
        </w:rPr>
      </w:pPr>
      <w:r>
        <w:rPr>
          <w:color w:val="auto"/>
          <w:sz w:val="26"/>
          <w:szCs w:val="26"/>
          <w:highlight w:val="none"/>
          <w:lang w:val="vi-VN"/>
        </w:rPr>
        <w:t>- T</w:t>
      </w:r>
      <w:r>
        <w:rPr>
          <w:color w:val="auto"/>
          <w:sz w:val="26"/>
          <w:szCs w:val="26"/>
          <w:highlight w:val="none"/>
        </w:rPr>
        <w:t>hực hiện tốt Quy chế dân chủ cơ sở, Thỏa ước lao động tập thể, phát huy quyền giám sát, kiểm tra của người lao động, của cổ đông t</w:t>
      </w:r>
      <w:r>
        <w:rPr>
          <w:color w:val="auto"/>
          <w:sz w:val="26"/>
          <w:szCs w:val="26"/>
          <w:highlight w:val="none"/>
          <w:lang w:val="vi-VN"/>
        </w:rPr>
        <w:t xml:space="preserve">ạo không khí thân thiện, cởi mở, vui tươi, lành mạnh trong Công ty để cùng nhau hoàn thành </w:t>
      </w:r>
      <w:r>
        <w:rPr>
          <w:color w:val="auto"/>
          <w:sz w:val="26"/>
          <w:szCs w:val="26"/>
          <w:highlight w:val="none"/>
        </w:rPr>
        <w:t xml:space="preserve">tốt </w:t>
      </w:r>
      <w:r>
        <w:rPr>
          <w:color w:val="auto"/>
          <w:sz w:val="26"/>
          <w:szCs w:val="26"/>
          <w:highlight w:val="none"/>
          <w:lang w:val="vi-VN"/>
        </w:rPr>
        <w:t>nhiệm vụ.</w:t>
      </w:r>
    </w:p>
    <w:p>
      <w:pPr>
        <w:spacing w:after="0" w:line="240" w:lineRule="auto"/>
        <w:jc w:val="center"/>
        <w:rPr>
          <w:b/>
          <w:bCs/>
          <w:color w:val="auto"/>
          <w:sz w:val="28"/>
          <w:szCs w:val="28"/>
          <w:highlight w:val="none"/>
          <w:u w:val="single"/>
        </w:rPr>
      </w:pPr>
    </w:p>
    <w:p>
      <w:pPr>
        <w:rPr>
          <w:b/>
          <w:bCs/>
          <w:color w:val="auto"/>
          <w:sz w:val="28"/>
          <w:szCs w:val="28"/>
          <w:highlight w:val="none"/>
          <w:u w:val="single"/>
        </w:rPr>
      </w:pPr>
      <w:r>
        <w:rPr>
          <w:b/>
          <w:bCs/>
          <w:color w:val="auto"/>
          <w:sz w:val="28"/>
          <w:szCs w:val="28"/>
          <w:highlight w:val="none"/>
          <w:u w:val="single"/>
        </w:rPr>
        <w:br w:type="page"/>
      </w:r>
    </w:p>
    <w:p>
      <w:pPr>
        <w:spacing w:after="0" w:line="240" w:lineRule="auto"/>
        <w:jc w:val="center"/>
        <w:rPr>
          <w:b/>
          <w:bCs/>
          <w:color w:val="auto"/>
          <w:sz w:val="28"/>
          <w:szCs w:val="28"/>
          <w:highlight w:val="none"/>
        </w:rPr>
      </w:pPr>
      <w:r>
        <w:rPr>
          <w:b/>
          <w:bCs/>
          <w:color w:val="auto"/>
          <w:sz w:val="28"/>
          <w:szCs w:val="28"/>
          <w:highlight w:val="none"/>
          <w:u w:val="single"/>
        </w:rPr>
        <w:t>PHẦN THỨ BA</w:t>
      </w:r>
    </w:p>
    <w:p>
      <w:pPr>
        <w:spacing w:after="0" w:line="240" w:lineRule="auto"/>
        <w:jc w:val="center"/>
        <w:rPr>
          <w:b/>
          <w:color w:val="auto"/>
          <w:sz w:val="26"/>
          <w:szCs w:val="26"/>
          <w:highlight w:val="none"/>
        </w:rPr>
      </w:pPr>
      <w:r>
        <w:rPr>
          <w:b/>
          <w:color w:val="auto"/>
          <w:sz w:val="26"/>
          <w:szCs w:val="26"/>
          <w:highlight w:val="none"/>
        </w:rPr>
        <w:t>KẾT LUẬN - KIẾN NGHỊ</w:t>
      </w:r>
    </w:p>
    <w:p>
      <w:pPr>
        <w:spacing w:after="0" w:line="240" w:lineRule="auto"/>
        <w:jc w:val="center"/>
        <w:rPr>
          <w:b/>
          <w:color w:val="auto"/>
          <w:sz w:val="26"/>
          <w:szCs w:val="26"/>
          <w:highlight w:val="none"/>
        </w:rPr>
      </w:pPr>
    </w:p>
    <w:p>
      <w:pPr>
        <w:spacing w:after="0" w:line="240" w:lineRule="auto"/>
        <w:ind w:left="442" w:leftChars="184"/>
        <w:jc w:val="both"/>
        <w:rPr>
          <w:color w:val="auto"/>
          <w:sz w:val="10"/>
          <w:szCs w:val="10"/>
          <w:highlight w:val="none"/>
        </w:rPr>
      </w:pPr>
    </w:p>
    <w:p>
      <w:pPr>
        <w:spacing w:after="0" w:line="240" w:lineRule="auto"/>
        <w:ind w:firstLine="478" w:firstLineChars="184"/>
        <w:jc w:val="both"/>
        <w:rPr>
          <w:color w:val="auto"/>
          <w:sz w:val="26"/>
          <w:szCs w:val="26"/>
          <w:highlight w:val="none"/>
          <w:lang w:val="vi-VN"/>
        </w:rPr>
      </w:pPr>
      <w:r>
        <w:rPr>
          <w:color w:val="auto"/>
          <w:sz w:val="26"/>
          <w:szCs w:val="26"/>
          <w:highlight w:val="none"/>
          <w:lang w:val="vi-VN"/>
        </w:rPr>
        <w:t xml:space="preserve">Qua một năm thực hiện kế hoạch sản xuất kinh doanh với </w:t>
      </w:r>
      <w:r>
        <w:rPr>
          <w:color w:val="auto"/>
          <w:sz w:val="26"/>
          <w:szCs w:val="26"/>
          <w:highlight w:val="none"/>
        </w:rPr>
        <w:t xml:space="preserve">nhiều khó khăn </w:t>
      </w:r>
      <w:r>
        <w:rPr>
          <w:color w:val="auto"/>
          <w:sz w:val="26"/>
          <w:szCs w:val="26"/>
          <w:highlight w:val="none"/>
          <w:lang w:val="vi-VN"/>
        </w:rPr>
        <w:t xml:space="preserve">nhưng với sự phấn đấu của toàn thể </w:t>
      </w:r>
      <w:r>
        <w:rPr>
          <w:color w:val="auto"/>
          <w:sz w:val="26"/>
          <w:szCs w:val="26"/>
          <w:highlight w:val="none"/>
        </w:rPr>
        <w:t>cán bộ quản lý</w:t>
      </w:r>
      <w:r>
        <w:rPr>
          <w:color w:val="auto"/>
          <w:sz w:val="26"/>
          <w:szCs w:val="26"/>
          <w:highlight w:val="none"/>
          <w:lang w:val="vi-VN"/>
        </w:rPr>
        <w:t xml:space="preserve"> và người lao động trong Công ty, cộng với sự quan tâm </w:t>
      </w:r>
      <w:r>
        <w:rPr>
          <w:color w:val="auto"/>
          <w:sz w:val="26"/>
          <w:szCs w:val="26"/>
          <w:highlight w:val="none"/>
        </w:rPr>
        <w:t xml:space="preserve">hỗ trợ, giúp đỡ của </w:t>
      </w:r>
      <w:r>
        <w:rPr>
          <w:color w:val="auto"/>
          <w:sz w:val="26"/>
          <w:szCs w:val="26"/>
          <w:highlight w:val="none"/>
          <w:lang w:val="vi-VN"/>
        </w:rPr>
        <w:t>các cấp chính quyền địa phương</w:t>
      </w:r>
      <w:r>
        <w:rPr>
          <w:color w:val="auto"/>
          <w:sz w:val="26"/>
          <w:szCs w:val="26"/>
          <w:highlight w:val="none"/>
        </w:rPr>
        <w:t xml:space="preserve">, của các cổ đông </w:t>
      </w:r>
      <w:r>
        <w:rPr>
          <w:color w:val="auto"/>
          <w:sz w:val="26"/>
          <w:szCs w:val="26"/>
          <w:highlight w:val="none"/>
          <w:lang w:val="vi-VN"/>
        </w:rPr>
        <w:t xml:space="preserve">… Công ty đã đạt được </w:t>
      </w:r>
      <w:r>
        <w:rPr>
          <w:color w:val="auto"/>
          <w:sz w:val="26"/>
          <w:szCs w:val="26"/>
          <w:highlight w:val="none"/>
        </w:rPr>
        <w:t>kết quả rất phấn khởi</w:t>
      </w:r>
      <w:r>
        <w:rPr>
          <w:color w:val="auto"/>
          <w:sz w:val="26"/>
          <w:szCs w:val="26"/>
          <w:highlight w:val="none"/>
          <w:lang w:val="vi-VN"/>
        </w:rPr>
        <w:t>. Các chỉ tiêu về doanh thu, lợi nhuận, nộp ngân sách, thu nhập bình quân</w:t>
      </w:r>
      <w:r>
        <w:rPr>
          <w:color w:val="auto"/>
          <w:sz w:val="26"/>
          <w:szCs w:val="26"/>
          <w:highlight w:val="none"/>
        </w:rPr>
        <w:t>, chia cổ tức</w:t>
      </w:r>
      <w:r>
        <w:rPr>
          <w:color w:val="auto"/>
          <w:sz w:val="26"/>
          <w:szCs w:val="26"/>
          <w:highlight w:val="none"/>
          <w:lang w:val="vi-VN"/>
        </w:rPr>
        <w:t xml:space="preserve"> đều </w:t>
      </w:r>
      <w:r>
        <w:rPr>
          <w:color w:val="auto"/>
          <w:sz w:val="26"/>
          <w:szCs w:val="26"/>
          <w:highlight w:val="none"/>
        </w:rPr>
        <w:t xml:space="preserve">đạt và vượt </w:t>
      </w:r>
      <w:r>
        <w:rPr>
          <w:color w:val="auto"/>
          <w:sz w:val="26"/>
          <w:szCs w:val="26"/>
          <w:highlight w:val="none"/>
          <w:lang w:val="vi-VN"/>
        </w:rPr>
        <w:t xml:space="preserve">kế hoạch. Tiền lương cũng như BHXH, BHYT, BHTN … được trả đầy đủ cho người lao động. Tiếp tục bảo toàn được nguồn vốn để phát triển sản xuất. Với những thành quả trên Công ty khẳng định sự phát triển đúng hướng, ổn định, bền vững mà toàn thể </w:t>
      </w:r>
      <w:r>
        <w:rPr>
          <w:color w:val="auto"/>
          <w:sz w:val="26"/>
          <w:szCs w:val="26"/>
          <w:highlight w:val="none"/>
        </w:rPr>
        <w:t>cổ đông</w:t>
      </w:r>
      <w:r>
        <w:rPr>
          <w:color w:val="auto"/>
          <w:sz w:val="26"/>
          <w:szCs w:val="26"/>
          <w:highlight w:val="none"/>
          <w:lang w:val="vi-VN"/>
        </w:rPr>
        <w:t xml:space="preserve"> và người lao động mong đợi. Tuy nhiên, bên cạnh những thành quả đã đạt được còn các tồn tại và hạn chế cần khắc phục trong năm 20</w:t>
      </w:r>
      <w:r>
        <w:rPr>
          <w:color w:val="auto"/>
          <w:sz w:val="26"/>
          <w:szCs w:val="26"/>
          <w:highlight w:val="none"/>
        </w:rPr>
        <w:t>21</w:t>
      </w:r>
      <w:r>
        <w:rPr>
          <w:color w:val="auto"/>
          <w:sz w:val="26"/>
          <w:szCs w:val="26"/>
          <w:highlight w:val="none"/>
          <w:lang w:val="vi-VN"/>
        </w:rPr>
        <w:t xml:space="preserve"> và những năm tới.</w:t>
      </w:r>
    </w:p>
    <w:p>
      <w:pPr>
        <w:spacing w:after="0" w:line="240" w:lineRule="auto"/>
        <w:ind w:firstLine="184" w:firstLineChars="184"/>
        <w:jc w:val="both"/>
        <w:rPr>
          <w:color w:val="auto"/>
          <w:sz w:val="10"/>
          <w:szCs w:val="10"/>
          <w:highlight w:val="none"/>
        </w:rPr>
      </w:pPr>
    </w:p>
    <w:p>
      <w:pPr>
        <w:spacing w:after="0" w:line="240" w:lineRule="auto"/>
        <w:ind w:firstLine="478" w:firstLineChars="184"/>
        <w:jc w:val="both"/>
        <w:rPr>
          <w:color w:val="auto"/>
          <w:sz w:val="26"/>
          <w:szCs w:val="26"/>
          <w:highlight w:val="none"/>
        </w:rPr>
      </w:pPr>
      <w:r>
        <w:rPr>
          <w:color w:val="auto"/>
          <w:sz w:val="26"/>
          <w:szCs w:val="26"/>
          <w:highlight w:val="none"/>
        </w:rPr>
        <w:t>Trên đây là nội dung Báo cáo kết quả sản xuất – kinh doanh năm 2020 và Kế hoạch SXKD năm 2021 của Công ty cổ phần giống lâm nghiệp vùng Nam Bộ.</w:t>
      </w:r>
    </w:p>
    <w:p>
      <w:pPr>
        <w:spacing w:after="0" w:line="240" w:lineRule="auto"/>
        <w:ind w:firstLine="478" w:firstLineChars="184"/>
        <w:jc w:val="both"/>
        <w:rPr>
          <w:color w:val="auto"/>
          <w:sz w:val="26"/>
          <w:szCs w:val="26"/>
          <w:highlight w:val="none"/>
        </w:rPr>
      </w:pPr>
    </w:p>
    <w:p>
      <w:pPr>
        <w:spacing w:after="0" w:line="240" w:lineRule="auto"/>
        <w:ind w:firstLine="5481" w:firstLineChars="2107"/>
        <w:jc w:val="both"/>
        <w:rPr>
          <w:b/>
          <w:bCs/>
          <w:color w:val="auto"/>
          <w:sz w:val="26"/>
          <w:szCs w:val="26"/>
          <w:highlight w:val="none"/>
        </w:rPr>
      </w:pPr>
      <w:r>
        <w:rPr>
          <w:b/>
          <w:bCs/>
          <w:color w:val="auto"/>
          <w:sz w:val="26"/>
          <w:szCs w:val="26"/>
          <w:highlight w:val="none"/>
        </w:rPr>
        <w:t>GIÁM ĐỐC CÔNG TY</w:t>
      </w:r>
    </w:p>
    <w:sectPr>
      <w:footerReference r:id="rId5" w:type="default"/>
      <w:footerReference r:id="rId6" w:type="even"/>
      <w:pgSz w:w="11849" w:h="16781"/>
      <w:pgMar w:top="1134" w:right="964" w:bottom="907" w:left="1304" w:header="55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NI-Time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8529006"/>
    </w:sdtPr>
    <w:sdtContent>
      <w:p>
        <w:pPr>
          <w:pStyle w:val="7"/>
          <w:jc w:val="center"/>
        </w:pPr>
        <w:r>
          <w:fldChar w:fldCharType="begin"/>
        </w:r>
        <w:r>
          <w:instrText xml:space="preserve"> PAGE   \* MERGEFORMAT </w:instrText>
        </w:r>
        <w:r>
          <w:fldChar w:fldCharType="separate"/>
        </w:r>
        <w:r>
          <w:t>8</w:t>
        </w:r>
        <w:r>
          <w:fldChar w:fldCharType="end"/>
        </w:r>
      </w:p>
    </w:sdtContent>
  </w:sdt>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0"/>
      </w:rPr>
    </w:pPr>
    <w:r>
      <w:fldChar w:fldCharType="begin"/>
    </w:r>
    <w:r>
      <w:rPr>
        <w:rStyle w:val="10"/>
      </w:rPr>
      <w:instrText xml:space="preserve">PAGE  </w:instrText>
    </w:r>
    <w:r>
      <w:fldChar w:fldCharType="end"/>
    </w:r>
  </w:p>
  <w:p>
    <w:pPr>
      <w:pStyle w:val="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2A651"/>
    <w:multiLevelType w:val="singleLevel"/>
    <w:tmpl w:val="B502A651"/>
    <w:lvl w:ilvl="0" w:tentative="0">
      <w:start w:val="1"/>
      <w:numFmt w:val="lowerLetter"/>
      <w:suff w:val="space"/>
      <w:lvlText w:val="%1)"/>
      <w:lvlJc w:val="left"/>
    </w:lvl>
  </w:abstractNum>
  <w:abstractNum w:abstractNumId="1">
    <w:nsid w:val="E1CDB4AE"/>
    <w:multiLevelType w:val="singleLevel"/>
    <w:tmpl w:val="E1CDB4AE"/>
    <w:lvl w:ilvl="0" w:tentative="0">
      <w:start w:val="2"/>
      <w:numFmt w:val="decimal"/>
      <w:suff w:val="space"/>
      <w:lvlText w:val="%1."/>
      <w:lvlJc w:val="left"/>
    </w:lvl>
  </w:abstractNum>
  <w:abstractNum w:abstractNumId="2">
    <w:nsid w:val="5AA0A383"/>
    <w:multiLevelType w:val="singleLevel"/>
    <w:tmpl w:val="5AA0A383"/>
    <w:lvl w:ilvl="0" w:tentative="0">
      <w:start w:val="1"/>
      <w:numFmt w:val="decimal"/>
      <w:suff w:val="space"/>
      <w:lvlText w:val="%1."/>
      <w:lvlJc w:val="left"/>
    </w:lvl>
  </w:abstractNum>
  <w:abstractNum w:abstractNumId="3">
    <w:nsid w:val="5AA0E7F1"/>
    <w:multiLevelType w:val="singleLevel"/>
    <w:tmpl w:val="5AA0E7F1"/>
    <w:lvl w:ilvl="0" w:tentative="0">
      <w:start w:val="4"/>
      <w:numFmt w:val="decimal"/>
      <w:suff w:val="space"/>
      <w:lvlText w:val="%1."/>
      <w:lvlJc w:val="left"/>
    </w:lvl>
  </w:abstractNum>
  <w:abstractNum w:abstractNumId="4">
    <w:nsid w:val="5AA1EE54"/>
    <w:multiLevelType w:val="singleLevel"/>
    <w:tmpl w:val="5AA1EE54"/>
    <w:lvl w:ilvl="0" w:tentative="0">
      <w:start w:val="3"/>
      <w:numFmt w:val="decimal"/>
      <w:suff w:val="space"/>
      <w:lvlText w:val="%1."/>
      <w:lvlJc w:val="left"/>
    </w:lvl>
  </w:abstractNum>
  <w:abstractNum w:abstractNumId="5">
    <w:nsid w:val="5AA2195A"/>
    <w:multiLevelType w:val="multilevel"/>
    <w:tmpl w:val="5AA2195A"/>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5AA227BA"/>
    <w:multiLevelType w:val="singleLevel"/>
    <w:tmpl w:val="5AA227BA"/>
    <w:lvl w:ilvl="0" w:tentative="0">
      <w:start w:val="1"/>
      <w:numFmt w:val="decimal"/>
      <w:suff w:val="space"/>
      <w:lvlText w:val="%1."/>
      <w:lvlJc w:val="left"/>
    </w:lvl>
  </w:abstractNum>
  <w:abstractNum w:abstractNumId="7">
    <w:nsid w:val="5ABA0ACB"/>
    <w:multiLevelType w:val="singleLevel"/>
    <w:tmpl w:val="5ABA0ACB"/>
    <w:lvl w:ilvl="0" w:tentative="0">
      <w:start w:val="1"/>
      <w:numFmt w:val="lowerLetter"/>
      <w:suff w:val="space"/>
      <w:lvlText w:val="%1)"/>
      <w:lvlJc w:val="left"/>
    </w:lvl>
  </w:abstractNum>
  <w:num w:numId="1">
    <w:abstractNumId w:val="1"/>
  </w:num>
  <w:num w:numId="2">
    <w:abstractNumId w:val="2"/>
  </w:num>
  <w:num w:numId="3">
    <w:abstractNumId w:val="7"/>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913"/>
    <w:rsid w:val="000130CD"/>
    <w:rsid w:val="0001339A"/>
    <w:rsid w:val="00014910"/>
    <w:rsid w:val="000173D9"/>
    <w:rsid w:val="000347E7"/>
    <w:rsid w:val="00040CF4"/>
    <w:rsid w:val="00053A41"/>
    <w:rsid w:val="0006499F"/>
    <w:rsid w:val="00075CA9"/>
    <w:rsid w:val="00084BFE"/>
    <w:rsid w:val="00087154"/>
    <w:rsid w:val="00090A0B"/>
    <w:rsid w:val="00094BAF"/>
    <w:rsid w:val="000A04F4"/>
    <w:rsid w:val="000A20E0"/>
    <w:rsid w:val="000B2CDB"/>
    <w:rsid w:val="000C595B"/>
    <w:rsid w:val="000D0C93"/>
    <w:rsid w:val="000D1E81"/>
    <w:rsid w:val="000D3E2E"/>
    <w:rsid w:val="000D6CDE"/>
    <w:rsid w:val="000E16BF"/>
    <w:rsid w:val="000E5805"/>
    <w:rsid w:val="000F1D53"/>
    <w:rsid w:val="000F50D2"/>
    <w:rsid w:val="000F5426"/>
    <w:rsid w:val="000F77A9"/>
    <w:rsid w:val="001000A2"/>
    <w:rsid w:val="001171AD"/>
    <w:rsid w:val="001445C3"/>
    <w:rsid w:val="0015190E"/>
    <w:rsid w:val="001677E9"/>
    <w:rsid w:val="00172A27"/>
    <w:rsid w:val="001749DE"/>
    <w:rsid w:val="0018410B"/>
    <w:rsid w:val="001852CC"/>
    <w:rsid w:val="0019238C"/>
    <w:rsid w:val="00192EF0"/>
    <w:rsid w:val="001969C0"/>
    <w:rsid w:val="001A59A3"/>
    <w:rsid w:val="001B6FC8"/>
    <w:rsid w:val="001C4823"/>
    <w:rsid w:val="001C5B71"/>
    <w:rsid w:val="001C6382"/>
    <w:rsid w:val="001F5A3B"/>
    <w:rsid w:val="001F7C0F"/>
    <w:rsid w:val="00222461"/>
    <w:rsid w:val="0022460C"/>
    <w:rsid w:val="00233EFF"/>
    <w:rsid w:val="00233F30"/>
    <w:rsid w:val="002368A9"/>
    <w:rsid w:val="00262DFB"/>
    <w:rsid w:val="00276459"/>
    <w:rsid w:val="00276D7B"/>
    <w:rsid w:val="002853F1"/>
    <w:rsid w:val="0029647D"/>
    <w:rsid w:val="002A078B"/>
    <w:rsid w:val="002A1C13"/>
    <w:rsid w:val="002A2317"/>
    <w:rsid w:val="002A646E"/>
    <w:rsid w:val="002A7E24"/>
    <w:rsid w:val="002C3511"/>
    <w:rsid w:val="002C61EF"/>
    <w:rsid w:val="002C7B65"/>
    <w:rsid w:val="002E1DEC"/>
    <w:rsid w:val="002F672D"/>
    <w:rsid w:val="00303815"/>
    <w:rsid w:val="00304A8A"/>
    <w:rsid w:val="00310749"/>
    <w:rsid w:val="00341F7E"/>
    <w:rsid w:val="003532C6"/>
    <w:rsid w:val="003578CC"/>
    <w:rsid w:val="003A5F63"/>
    <w:rsid w:val="003B14AA"/>
    <w:rsid w:val="003B48D4"/>
    <w:rsid w:val="003C5FED"/>
    <w:rsid w:val="003D20DF"/>
    <w:rsid w:val="003D6CAF"/>
    <w:rsid w:val="003E1D3A"/>
    <w:rsid w:val="003E47DE"/>
    <w:rsid w:val="003F4798"/>
    <w:rsid w:val="003F4848"/>
    <w:rsid w:val="004060FA"/>
    <w:rsid w:val="00412266"/>
    <w:rsid w:val="00423822"/>
    <w:rsid w:val="0042426C"/>
    <w:rsid w:val="00434833"/>
    <w:rsid w:val="00435EDC"/>
    <w:rsid w:val="00437913"/>
    <w:rsid w:val="0044121C"/>
    <w:rsid w:val="004824AD"/>
    <w:rsid w:val="00490820"/>
    <w:rsid w:val="00495A08"/>
    <w:rsid w:val="004A160F"/>
    <w:rsid w:val="004B41DB"/>
    <w:rsid w:val="004B57BF"/>
    <w:rsid w:val="004B69E2"/>
    <w:rsid w:val="004B72AB"/>
    <w:rsid w:val="004D0290"/>
    <w:rsid w:val="004F4426"/>
    <w:rsid w:val="00501BDB"/>
    <w:rsid w:val="005076F1"/>
    <w:rsid w:val="00511B44"/>
    <w:rsid w:val="005213D8"/>
    <w:rsid w:val="0052285A"/>
    <w:rsid w:val="0052380B"/>
    <w:rsid w:val="00527018"/>
    <w:rsid w:val="00542FDF"/>
    <w:rsid w:val="005439A0"/>
    <w:rsid w:val="005616E4"/>
    <w:rsid w:val="00564AAE"/>
    <w:rsid w:val="005666C0"/>
    <w:rsid w:val="00567161"/>
    <w:rsid w:val="005678B3"/>
    <w:rsid w:val="00576B36"/>
    <w:rsid w:val="00580359"/>
    <w:rsid w:val="0058375F"/>
    <w:rsid w:val="00592CE5"/>
    <w:rsid w:val="00594C3A"/>
    <w:rsid w:val="005A1915"/>
    <w:rsid w:val="005D44F0"/>
    <w:rsid w:val="005D6C07"/>
    <w:rsid w:val="005E68AA"/>
    <w:rsid w:val="005F0A97"/>
    <w:rsid w:val="005F10E8"/>
    <w:rsid w:val="005F7765"/>
    <w:rsid w:val="005F7DDA"/>
    <w:rsid w:val="00610F8D"/>
    <w:rsid w:val="00614169"/>
    <w:rsid w:val="00636B53"/>
    <w:rsid w:val="00654E04"/>
    <w:rsid w:val="00657A48"/>
    <w:rsid w:val="00661754"/>
    <w:rsid w:val="00666C96"/>
    <w:rsid w:val="00676CF9"/>
    <w:rsid w:val="006B04B0"/>
    <w:rsid w:val="006D49CE"/>
    <w:rsid w:val="006D7244"/>
    <w:rsid w:val="006E79EF"/>
    <w:rsid w:val="00705D18"/>
    <w:rsid w:val="0074431B"/>
    <w:rsid w:val="00744348"/>
    <w:rsid w:val="00750BB8"/>
    <w:rsid w:val="00756940"/>
    <w:rsid w:val="00757DAA"/>
    <w:rsid w:val="00760AB3"/>
    <w:rsid w:val="00762224"/>
    <w:rsid w:val="00766F22"/>
    <w:rsid w:val="00772DFB"/>
    <w:rsid w:val="007844BE"/>
    <w:rsid w:val="007952DA"/>
    <w:rsid w:val="00795640"/>
    <w:rsid w:val="007A0DE5"/>
    <w:rsid w:val="007B29CA"/>
    <w:rsid w:val="007B7976"/>
    <w:rsid w:val="007C0E2D"/>
    <w:rsid w:val="007D0CE1"/>
    <w:rsid w:val="007D4109"/>
    <w:rsid w:val="007D6617"/>
    <w:rsid w:val="007F4BF1"/>
    <w:rsid w:val="007F77C6"/>
    <w:rsid w:val="008122F7"/>
    <w:rsid w:val="008248DF"/>
    <w:rsid w:val="0085013B"/>
    <w:rsid w:val="00874EB2"/>
    <w:rsid w:val="00880BCF"/>
    <w:rsid w:val="008839DF"/>
    <w:rsid w:val="00895528"/>
    <w:rsid w:val="008C10D2"/>
    <w:rsid w:val="008C5E8E"/>
    <w:rsid w:val="008C7451"/>
    <w:rsid w:val="008E0BE3"/>
    <w:rsid w:val="008E6FA9"/>
    <w:rsid w:val="008F7B66"/>
    <w:rsid w:val="008F7D29"/>
    <w:rsid w:val="0090167F"/>
    <w:rsid w:val="00917218"/>
    <w:rsid w:val="00931CFE"/>
    <w:rsid w:val="00933411"/>
    <w:rsid w:val="0093743E"/>
    <w:rsid w:val="00943431"/>
    <w:rsid w:val="009453CE"/>
    <w:rsid w:val="009540E1"/>
    <w:rsid w:val="009758CB"/>
    <w:rsid w:val="00980589"/>
    <w:rsid w:val="00987087"/>
    <w:rsid w:val="0099085E"/>
    <w:rsid w:val="00992A23"/>
    <w:rsid w:val="009B290B"/>
    <w:rsid w:val="009B3585"/>
    <w:rsid w:val="009D15FA"/>
    <w:rsid w:val="009D4D2B"/>
    <w:rsid w:val="009E0DC6"/>
    <w:rsid w:val="009E5FC1"/>
    <w:rsid w:val="009E6818"/>
    <w:rsid w:val="00A00D26"/>
    <w:rsid w:val="00A01E75"/>
    <w:rsid w:val="00A136AB"/>
    <w:rsid w:val="00A26555"/>
    <w:rsid w:val="00A3262B"/>
    <w:rsid w:val="00A35F34"/>
    <w:rsid w:val="00A41063"/>
    <w:rsid w:val="00A54E71"/>
    <w:rsid w:val="00A63FE4"/>
    <w:rsid w:val="00A70FE0"/>
    <w:rsid w:val="00A7377D"/>
    <w:rsid w:val="00A7479F"/>
    <w:rsid w:val="00A83BC1"/>
    <w:rsid w:val="00A85220"/>
    <w:rsid w:val="00A863BC"/>
    <w:rsid w:val="00A87AB8"/>
    <w:rsid w:val="00A91360"/>
    <w:rsid w:val="00AA7645"/>
    <w:rsid w:val="00AC4F44"/>
    <w:rsid w:val="00AD672A"/>
    <w:rsid w:val="00AF4355"/>
    <w:rsid w:val="00B111A1"/>
    <w:rsid w:val="00B17719"/>
    <w:rsid w:val="00B24840"/>
    <w:rsid w:val="00B32F23"/>
    <w:rsid w:val="00B34276"/>
    <w:rsid w:val="00B352E9"/>
    <w:rsid w:val="00B41F66"/>
    <w:rsid w:val="00B739C0"/>
    <w:rsid w:val="00B80DC1"/>
    <w:rsid w:val="00B83970"/>
    <w:rsid w:val="00B86449"/>
    <w:rsid w:val="00B95C10"/>
    <w:rsid w:val="00B96B8F"/>
    <w:rsid w:val="00B97246"/>
    <w:rsid w:val="00BD021F"/>
    <w:rsid w:val="00BD02C9"/>
    <w:rsid w:val="00BD62E2"/>
    <w:rsid w:val="00BD6DF5"/>
    <w:rsid w:val="00BE1A71"/>
    <w:rsid w:val="00C172AC"/>
    <w:rsid w:val="00C20862"/>
    <w:rsid w:val="00C22E35"/>
    <w:rsid w:val="00C246DC"/>
    <w:rsid w:val="00C24A93"/>
    <w:rsid w:val="00C52459"/>
    <w:rsid w:val="00C62923"/>
    <w:rsid w:val="00C753A5"/>
    <w:rsid w:val="00C858D7"/>
    <w:rsid w:val="00C86AB9"/>
    <w:rsid w:val="00C9208E"/>
    <w:rsid w:val="00CA1968"/>
    <w:rsid w:val="00CA710A"/>
    <w:rsid w:val="00CC7DF2"/>
    <w:rsid w:val="00CD5ABE"/>
    <w:rsid w:val="00CE034F"/>
    <w:rsid w:val="00CF18DB"/>
    <w:rsid w:val="00CF50F4"/>
    <w:rsid w:val="00D04551"/>
    <w:rsid w:val="00D04BB5"/>
    <w:rsid w:val="00D145FC"/>
    <w:rsid w:val="00D271B3"/>
    <w:rsid w:val="00D3022B"/>
    <w:rsid w:val="00D36A1A"/>
    <w:rsid w:val="00D446AD"/>
    <w:rsid w:val="00D44F66"/>
    <w:rsid w:val="00D50D61"/>
    <w:rsid w:val="00D56065"/>
    <w:rsid w:val="00D56558"/>
    <w:rsid w:val="00D56B18"/>
    <w:rsid w:val="00D75E1E"/>
    <w:rsid w:val="00D827DE"/>
    <w:rsid w:val="00D87304"/>
    <w:rsid w:val="00D96DB4"/>
    <w:rsid w:val="00DB7D29"/>
    <w:rsid w:val="00DC1E1D"/>
    <w:rsid w:val="00DC2BAC"/>
    <w:rsid w:val="00DD10E6"/>
    <w:rsid w:val="00DD2D52"/>
    <w:rsid w:val="00DD393C"/>
    <w:rsid w:val="00DD54F2"/>
    <w:rsid w:val="00DF0F31"/>
    <w:rsid w:val="00DF24F8"/>
    <w:rsid w:val="00DF3460"/>
    <w:rsid w:val="00DF71CA"/>
    <w:rsid w:val="00E0114D"/>
    <w:rsid w:val="00E150EA"/>
    <w:rsid w:val="00E421D7"/>
    <w:rsid w:val="00E43CD1"/>
    <w:rsid w:val="00E44AB7"/>
    <w:rsid w:val="00E454FA"/>
    <w:rsid w:val="00E56F71"/>
    <w:rsid w:val="00E746E2"/>
    <w:rsid w:val="00E82332"/>
    <w:rsid w:val="00EB0B41"/>
    <w:rsid w:val="00EB2B73"/>
    <w:rsid w:val="00EC2B7F"/>
    <w:rsid w:val="00EC555B"/>
    <w:rsid w:val="00ED62B1"/>
    <w:rsid w:val="00EE572B"/>
    <w:rsid w:val="00EF7F27"/>
    <w:rsid w:val="00F17DB4"/>
    <w:rsid w:val="00F24FBD"/>
    <w:rsid w:val="00F413A0"/>
    <w:rsid w:val="00F62AF1"/>
    <w:rsid w:val="00F9772A"/>
    <w:rsid w:val="00FA190E"/>
    <w:rsid w:val="00FA1967"/>
    <w:rsid w:val="00FB15F3"/>
    <w:rsid w:val="00FB50BC"/>
    <w:rsid w:val="00FB5F03"/>
    <w:rsid w:val="00FB7799"/>
    <w:rsid w:val="00FD4FEF"/>
    <w:rsid w:val="00FF348B"/>
    <w:rsid w:val="016F0F21"/>
    <w:rsid w:val="01A466EF"/>
    <w:rsid w:val="01D14258"/>
    <w:rsid w:val="021A48F0"/>
    <w:rsid w:val="023231FF"/>
    <w:rsid w:val="023E65D0"/>
    <w:rsid w:val="026A2391"/>
    <w:rsid w:val="032D127D"/>
    <w:rsid w:val="03D577C7"/>
    <w:rsid w:val="040441F0"/>
    <w:rsid w:val="04682D7A"/>
    <w:rsid w:val="048B3B00"/>
    <w:rsid w:val="05B30A07"/>
    <w:rsid w:val="05BB5698"/>
    <w:rsid w:val="05E434DC"/>
    <w:rsid w:val="06030D3E"/>
    <w:rsid w:val="06887F88"/>
    <w:rsid w:val="072519E6"/>
    <w:rsid w:val="082B7604"/>
    <w:rsid w:val="08E95876"/>
    <w:rsid w:val="08EB3341"/>
    <w:rsid w:val="08FF724B"/>
    <w:rsid w:val="09B44A0F"/>
    <w:rsid w:val="09E2789D"/>
    <w:rsid w:val="0A181432"/>
    <w:rsid w:val="0B3339A7"/>
    <w:rsid w:val="0C143E73"/>
    <w:rsid w:val="0C6545BC"/>
    <w:rsid w:val="0C8B50DE"/>
    <w:rsid w:val="0CE07169"/>
    <w:rsid w:val="0D7B0140"/>
    <w:rsid w:val="0EBC39C5"/>
    <w:rsid w:val="0F766AD3"/>
    <w:rsid w:val="10152560"/>
    <w:rsid w:val="107F4833"/>
    <w:rsid w:val="11200B7A"/>
    <w:rsid w:val="119C0D82"/>
    <w:rsid w:val="11AC726B"/>
    <w:rsid w:val="12CD7E37"/>
    <w:rsid w:val="136F4F90"/>
    <w:rsid w:val="13705029"/>
    <w:rsid w:val="139077A0"/>
    <w:rsid w:val="13B10DC9"/>
    <w:rsid w:val="14585A44"/>
    <w:rsid w:val="145F03CD"/>
    <w:rsid w:val="1482563E"/>
    <w:rsid w:val="15047945"/>
    <w:rsid w:val="15252E82"/>
    <w:rsid w:val="15B324F8"/>
    <w:rsid w:val="16605D9C"/>
    <w:rsid w:val="1699487E"/>
    <w:rsid w:val="176E1C6E"/>
    <w:rsid w:val="17996E96"/>
    <w:rsid w:val="17A77359"/>
    <w:rsid w:val="1800213B"/>
    <w:rsid w:val="186B57ED"/>
    <w:rsid w:val="18F02254"/>
    <w:rsid w:val="195F7158"/>
    <w:rsid w:val="1A0F6561"/>
    <w:rsid w:val="1A366895"/>
    <w:rsid w:val="1A844B13"/>
    <w:rsid w:val="1B2F4AF2"/>
    <w:rsid w:val="1BDF242A"/>
    <w:rsid w:val="1C35053C"/>
    <w:rsid w:val="1D384513"/>
    <w:rsid w:val="1D631AEC"/>
    <w:rsid w:val="1DA77BA5"/>
    <w:rsid w:val="1DD94DCE"/>
    <w:rsid w:val="1E317C27"/>
    <w:rsid w:val="1E517328"/>
    <w:rsid w:val="1F291DDF"/>
    <w:rsid w:val="1F5259C7"/>
    <w:rsid w:val="1F6E256B"/>
    <w:rsid w:val="2033750C"/>
    <w:rsid w:val="211F7D6B"/>
    <w:rsid w:val="217126F0"/>
    <w:rsid w:val="219A6233"/>
    <w:rsid w:val="21C54F33"/>
    <w:rsid w:val="224E7A78"/>
    <w:rsid w:val="22D8021D"/>
    <w:rsid w:val="22FF7BB1"/>
    <w:rsid w:val="239C0893"/>
    <w:rsid w:val="23B96E87"/>
    <w:rsid w:val="2432652B"/>
    <w:rsid w:val="245C7C67"/>
    <w:rsid w:val="2475218A"/>
    <w:rsid w:val="25872BC2"/>
    <w:rsid w:val="25F9072C"/>
    <w:rsid w:val="260215A3"/>
    <w:rsid w:val="261E16B9"/>
    <w:rsid w:val="264D6ADE"/>
    <w:rsid w:val="26A10AA1"/>
    <w:rsid w:val="26CE2994"/>
    <w:rsid w:val="26D443D6"/>
    <w:rsid w:val="26DF6FAA"/>
    <w:rsid w:val="280149EB"/>
    <w:rsid w:val="288177A0"/>
    <w:rsid w:val="291D2211"/>
    <w:rsid w:val="29F362FB"/>
    <w:rsid w:val="2A107256"/>
    <w:rsid w:val="2A314460"/>
    <w:rsid w:val="2ABE4016"/>
    <w:rsid w:val="2B161FA7"/>
    <w:rsid w:val="2B2A1F06"/>
    <w:rsid w:val="2B777B60"/>
    <w:rsid w:val="2BAD2847"/>
    <w:rsid w:val="2C554A4E"/>
    <w:rsid w:val="2D3E2A07"/>
    <w:rsid w:val="2E264B21"/>
    <w:rsid w:val="2E5E62BF"/>
    <w:rsid w:val="2F556D2C"/>
    <w:rsid w:val="2FB1138F"/>
    <w:rsid w:val="30CC3FF9"/>
    <w:rsid w:val="30E639EA"/>
    <w:rsid w:val="311B46FF"/>
    <w:rsid w:val="31217407"/>
    <w:rsid w:val="318858E2"/>
    <w:rsid w:val="31DA2A39"/>
    <w:rsid w:val="32CE0003"/>
    <w:rsid w:val="331F5835"/>
    <w:rsid w:val="33A57216"/>
    <w:rsid w:val="3439073D"/>
    <w:rsid w:val="345A2DD2"/>
    <w:rsid w:val="347438F1"/>
    <w:rsid w:val="34906B00"/>
    <w:rsid w:val="34DD0FCA"/>
    <w:rsid w:val="34EB43EC"/>
    <w:rsid w:val="34EE3E95"/>
    <w:rsid w:val="35037DDC"/>
    <w:rsid w:val="35EC6085"/>
    <w:rsid w:val="36B716D8"/>
    <w:rsid w:val="372F54CA"/>
    <w:rsid w:val="374E096E"/>
    <w:rsid w:val="37A33BC3"/>
    <w:rsid w:val="382D2E99"/>
    <w:rsid w:val="38AA582B"/>
    <w:rsid w:val="392922B2"/>
    <w:rsid w:val="394D6AF9"/>
    <w:rsid w:val="39A0652A"/>
    <w:rsid w:val="3AB63775"/>
    <w:rsid w:val="3AD21190"/>
    <w:rsid w:val="3B0E08DF"/>
    <w:rsid w:val="3B8C3700"/>
    <w:rsid w:val="3C630C18"/>
    <w:rsid w:val="3D7B2883"/>
    <w:rsid w:val="3DF73976"/>
    <w:rsid w:val="3E1A26A4"/>
    <w:rsid w:val="3E5333EC"/>
    <w:rsid w:val="3EBE002E"/>
    <w:rsid w:val="3EF13C25"/>
    <w:rsid w:val="3F9C7F0C"/>
    <w:rsid w:val="3FBF5B12"/>
    <w:rsid w:val="411F2D23"/>
    <w:rsid w:val="412228B4"/>
    <w:rsid w:val="419B35A5"/>
    <w:rsid w:val="41DF3AD2"/>
    <w:rsid w:val="422F6E95"/>
    <w:rsid w:val="42433086"/>
    <w:rsid w:val="42AD131E"/>
    <w:rsid w:val="42E1667F"/>
    <w:rsid w:val="43101FD3"/>
    <w:rsid w:val="436A7421"/>
    <w:rsid w:val="43A72ACE"/>
    <w:rsid w:val="446C1F5C"/>
    <w:rsid w:val="448A0E68"/>
    <w:rsid w:val="455C3275"/>
    <w:rsid w:val="45A2761B"/>
    <w:rsid w:val="45A34BA4"/>
    <w:rsid w:val="45CD0BC9"/>
    <w:rsid w:val="469709A2"/>
    <w:rsid w:val="469D6558"/>
    <w:rsid w:val="476C197A"/>
    <w:rsid w:val="49320DB2"/>
    <w:rsid w:val="49344F4A"/>
    <w:rsid w:val="498671A1"/>
    <w:rsid w:val="49D953DB"/>
    <w:rsid w:val="4A60048A"/>
    <w:rsid w:val="4B5747A8"/>
    <w:rsid w:val="4B9F35C4"/>
    <w:rsid w:val="4CBA4633"/>
    <w:rsid w:val="4D0D772E"/>
    <w:rsid w:val="4D3D2115"/>
    <w:rsid w:val="4DD22782"/>
    <w:rsid w:val="4E146C3C"/>
    <w:rsid w:val="4E3C4E50"/>
    <w:rsid w:val="4E6D0907"/>
    <w:rsid w:val="4E7819C9"/>
    <w:rsid w:val="4EC41F7D"/>
    <w:rsid w:val="4EC6394C"/>
    <w:rsid w:val="4F3C1F29"/>
    <w:rsid w:val="4F467BED"/>
    <w:rsid w:val="4FD95279"/>
    <w:rsid w:val="5042769B"/>
    <w:rsid w:val="50CA4A8E"/>
    <w:rsid w:val="50F27DBD"/>
    <w:rsid w:val="51180645"/>
    <w:rsid w:val="51AA7A34"/>
    <w:rsid w:val="51F97568"/>
    <w:rsid w:val="52250082"/>
    <w:rsid w:val="52EF332E"/>
    <w:rsid w:val="54094A47"/>
    <w:rsid w:val="5444318B"/>
    <w:rsid w:val="54A5229B"/>
    <w:rsid w:val="554C7418"/>
    <w:rsid w:val="55DB44B3"/>
    <w:rsid w:val="56093743"/>
    <w:rsid w:val="56996D5E"/>
    <w:rsid w:val="56CB5E65"/>
    <w:rsid w:val="575073DA"/>
    <w:rsid w:val="58042717"/>
    <w:rsid w:val="58076241"/>
    <w:rsid w:val="580E0083"/>
    <w:rsid w:val="58E72AE5"/>
    <w:rsid w:val="598407BC"/>
    <w:rsid w:val="59E15F83"/>
    <w:rsid w:val="59F01CEA"/>
    <w:rsid w:val="5A2B2BBC"/>
    <w:rsid w:val="5AA6466F"/>
    <w:rsid w:val="5ABE55F6"/>
    <w:rsid w:val="5B03591D"/>
    <w:rsid w:val="5B0A0C3E"/>
    <w:rsid w:val="5B171542"/>
    <w:rsid w:val="5B456195"/>
    <w:rsid w:val="5B977380"/>
    <w:rsid w:val="5BEE6863"/>
    <w:rsid w:val="5CFB25E9"/>
    <w:rsid w:val="5D237BBD"/>
    <w:rsid w:val="5DD601FA"/>
    <w:rsid w:val="5E193A98"/>
    <w:rsid w:val="5E9627A2"/>
    <w:rsid w:val="5ED32896"/>
    <w:rsid w:val="5FC64BE9"/>
    <w:rsid w:val="5FD26167"/>
    <w:rsid w:val="608467B4"/>
    <w:rsid w:val="60AA033B"/>
    <w:rsid w:val="60AF039F"/>
    <w:rsid w:val="60CE76D6"/>
    <w:rsid w:val="611F7D48"/>
    <w:rsid w:val="615B1664"/>
    <w:rsid w:val="61AF082C"/>
    <w:rsid w:val="61FC68AF"/>
    <w:rsid w:val="6242330A"/>
    <w:rsid w:val="632A4F1D"/>
    <w:rsid w:val="6396132B"/>
    <w:rsid w:val="63B130E9"/>
    <w:rsid w:val="63EE10E3"/>
    <w:rsid w:val="64207E3D"/>
    <w:rsid w:val="646F57F7"/>
    <w:rsid w:val="647A7BFA"/>
    <w:rsid w:val="64D047FC"/>
    <w:rsid w:val="64E94EC8"/>
    <w:rsid w:val="64F4734F"/>
    <w:rsid w:val="65B821F3"/>
    <w:rsid w:val="65F74C74"/>
    <w:rsid w:val="662A34A2"/>
    <w:rsid w:val="66BA10C3"/>
    <w:rsid w:val="66EA16D0"/>
    <w:rsid w:val="6712428F"/>
    <w:rsid w:val="6719578F"/>
    <w:rsid w:val="67652D74"/>
    <w:rsid w:val="677175EF"/>
    <w:rsid w:val="677674A9"/>
    <w:rsid w:val="679C09E9"/>
    <w:rsid w:val="67CF6160"/>
    <w:rsid w:val="67E2175E"/>
    <w:rsid w:val="68BC0ABA"/>
    <w:rsid w:val="690F0DB2"/>
    <w:rsid w:val="69337380"/>
    <w:rsid w:val="698F47C6"/>
    <w:rsid w:val="69F65E2B"/>
    <w:rsid w:val="6A7C27F6"/>
    <w:rsid w:val="6A9056A5"/>
    <w:rsid w:val="6A973719"/>
    <w:rsid w:val="6AD5731F"/>
    <w:rsid w:val="6AE45040"/>
    <w:rsid w:val="6AE71FD8"/>
    <w:rsid w:val="6C305AFA"/>
    <w:rsid w:val="6C5720FD"/>
    <w:rsid w:val="6C891D38"/>
    <w:rsid w:val="6CBA79CD"/>
    <w:rsid w:val="6D31391C"/>
    <w:rsid w:val="6D5C51E7"/>
    <w:rsid w:val="6D7D7768"/>
    <w:rsid w:val="6D9F4B11"/>
    <w:rsid w:val="6E1548EE"/>
    <w:rsid w:val="6E4302D6"/>
    <w:rsid w:val="6EDC398E"/>
    <w:rsid w:val="6EE67694"/>
    <w:rsid w:val="6F2B7EDE"/>
    <w:rsid w:val="6F7B0754"/>
    <w:rsid w:val="6F9A6808"/>
    <w:rsid w:val="6FAF471A"/>
    <w:rsid w:val="7036562E"/>
    <w:rsid w:val="706F4B3B"/>
    <w:rsid w:val="70A30693"/>
    <w:rsid w:val="70A50E7A"/>
    <w:rsid w:val="71223CAE"/>
    <w:rsid w:val="71F0144B"/>
    <w:rsid w:val="728B4CB2"/>
    <w:rsid w:val="72C6499E"/>
    <w:rsid w:val="72CD647C"/>
    <w:rsid w:val="73E8774F"/>
    <w:rsid w:val="74034FE1"/>
    <w:rsid w:val="7413390F"/>
    <w:rsid w:val="74395F31"/>
    <w:rsid w:val="74DA072F"/>
    <w:rsid w:val="74DE26B5"/>
    <w:rsid w:val="754A0C76"/>
    <w:rsid w:val="75893F4C"/>
    <w:rsid w:val="76931868"/>
    <w:rsid w:val="76D14048"/>
    <w:rsid w:val="76FC4A98"/>
    <w:rsid w:val="772C781B"/>
    <w:rsid w:val="776D29DB"/>
    <w:rsid w:val="776E57FE"/>
    <w:rsid w:val="77B47CF3"/>
    <w:rsid w:val="78712EDB"/>
    <w:rsid w:val="7931372B"/>
    <w:rsid w:val="7A9C5C8E"/>
    <w:rsid w:val="7A9F1794"/>
    <w:rsid w:val="7AAA2133"/>
    <w:rsid w:val="7B0E4A87"/>
    <w:rsid w:val="7C004A6D"/>
    <w:rsid w:val="7C38108D"/>
    <w:rsid w:val="7C712BDC"/>
    <w:rsid w:val="7CE72C97"/>
    <w:rsid w:val="7D292F4E"/>
    <w:rsid w:val="7D3A2536"/>
    <w:rsid w:val="7D6F7096"/>
    <w:rsid w:val="7E2B19AE"/>
    <w:rsid w:val="7FF87E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qFormat/>
    <w:uiPriority w:val="0"/>
    <w:pPr>
      <w:spacing w:after="0" w:line="240" w:lineRule="auto"/>
    </w:pPr>
    <w:rPr>
      <w:rFonts w:ascii="Tahoma" w:hAnsi="Tahoma" w:cs="Tahoma"/>
      <w:sz w:val="16"/>
      <w:szCs w:val="16"/>
    </w:rPr>
  </w:style>
  <w:style w:type="paragraph" w:styleId="5">
    <w:name w:val="Body Text Indent"/>
    <w:basedOn w:val="1"/>
    <w:link w:val="15"/>
    <w:unhideWhenUsed/>
    <w:qFormat/>
    <w:uiPriority w:val="0"/>
    <w:pPr>
      <w:ind w:firstLine="720"/>
      <w:jc w:val="both"/>
    </w:pPr>
    <w:rPr>
      <w:rFonts w:ascii="VNI-Times" w:hAnsi="VNI-Times"/>
    </w:rPr>
  </w:style>
  <w:style w:type="paragraph" w:styleId="6">
    <w:name w:val="Body Text Indent 3"/>
    <w:basedOn w:val="1"/>
    <w:link w:val="16"/>
    <w:qFormat/>
    <w:uiPriority w:val="0"/>
    <w:pPr>
      <w:spacing w:after="120"/>
      <w:ind w:left="283"/>
    </w:pPr>
    <w:rPr>
      <w:sz w:val="16"/>
      <w:szCs w:val="16"/>
    </w:rPr>
  </w:style>
  <w:style w:type="paragraph" w:styleId="7">
    <w:name w:val="footer"/>
    <w:basedOn w:val="1"/>
    <w:link w:val="14"/>
    <w:qFormat/>
    <w:uiPriority w:val="99"/>
    <w:pPr>
      <w:tabs>
        <w:tab w:val="center" w:pos="4320"/>
        <w:tab w:val="right" w:pos="8640"/>
      </w:tabs>
    </w:pPr>
  </w:style>
  <w:style w:type="paragraph" w:styleId="8">
    <w:name w:val="header"/>
    <w:basedOn w:val="1"/>
    <w:link w:val="12"/>
    <w:qFormat/>
    <w:uiPriority w:val="0"/>
    <w:pPr>
      <w:tabs>
        <w:tab w:val="center" w:pos="4680"/>
        <w:tab w:val="right" w:pos="9360"/>
      </w:tabs>
    </w:pPr>
  </w:style>
  <w:style w:type="paragraph" w:styleId="9">
    <w:name w:val="Normal (Web)"/>
    <w:basedOn w:val="1"/>
    <w:qFormat/>
    <w:uiPriority w:val="0"/>
    <w:pPr>
      <w:spacing w:before="100" w:beforeAutospacing="1" w:after="100" w:afterAutospacing="1"/>
    </w:pPr>
  </w:style>
  <w:style w:type="character" w:styleId="10">
    <w:name w:val="page number"/>
    <w:basedOn w:val="2"/>
    <w:qFormat/>
    <w:uiPriority w:val="0"/>
  </w:style>
  <w:style w:type="table" w:styleId="11">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er Char"/>
    <w:basedOn w:val="2"/>
    <w:link w:val="8"/>
    <w:qFormat/>
    <w:uiPriority w:val="0"/>
    <w:rPr>
      <w:sz w:val="24"/>
      <w:szCs w:val="24"/>
    </w:rPr>
  </w:style>
  <w:style w:type="paragraph" w:customStyle="1" w:styleId="13">
    <w:name w:val="List Paragraph1"/>
    <w:basedOn w:val="1"/>
    <w:qFormat/>
    <w:uiPriority w:val="34"/>
    <w:pPr>
      <w:ind w:left="720"/>
      <w:contextualSpacing/>
    </w:pPr>
  </w:style>
  <w:style w:type="character" w:customStyle="1" w:styleId="14">
    <w:name w:val="Footer Char"/>
    <w:basedOn w:val="2"/>
    <w:link w:val="7"/>
    <w:qFormat/>
    <w:uiPriority w:val="99"/>
    <w:rPr>
      <w:sz w:val="24"/>
      <w:szCs w:val="24"/>
    </w:rPr>
  </w:style>
  <w:style w:type="character" w:customStyle="1" w:styleId="15">
    <w:name w:val="Body Text Indent Char"/>
    <w:basedOn w:val="2"/>
    <w:link w:val="5"/>
    <w:qFormat/>
    <w:uiPriority w:val="0"/>
    <w:rPr>
      <w:rFonts w:ascii="VNI-Times" w:hAnsi="VNI-Times"/>
      <w:sz w:val="24"/>
      <w:szCs w:val="24"/>
    </w:rPr>
  </w:style>
  <w:style w:type="character" w:customStyle="1" w:styleId="16">
    <w:name w:val="Body Text Indent 3 Char"/>
    <w:basedOn w:val="2"/>
    <w:link w:val="6"/>
    <w:qFormat/>
    <w:uiPriority w:val="0"/>
    <w:rPr>
      <w:sz w:val="16"/>
      <w:szCs w:val="16"/>
    </w:rPr>
  </w:style>
  <w:style w:type="character" w:customStyle="1" w:styleId="17">
    <w:name w:val="Balloon Text Char"/>
    <w:basedOn w:val="2"/>
    <w:link w:val="4"/>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95173A-71CC-4268-B346-A5EC1D03DAFC}">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3125</Words>
  <Characters>17813</Characters>
  <Lines>148</Lines>
  <Paragraphs>41</Paragraphs>
  <TotalTime>109</TotalTime>
  <ScaleCrop>false</ScaleCrop>
  <LinksUpToDate>false</LinksUpToDate>
  <CharactersWithSpaces>20897</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2016-02-26T04:36:00Z</dcterms:created>
  <dc:creator>Thanh An</dc:creator>
  <cp:lastModifiedBy>ASUS</cp:lastModifiedBy>
  <cp:lastPrinted>2021-04-14T06:51:00Z</cp:lastPrinted>
  <dcterms:modified xsi:type="dcterms:W3CDTF">2021-06-01T04:28:33Z</dcterms:modified>
  <dc:title>TỔNG CÔNG TY LÂM NGHIỆP VIỆT NAM               CỘNG HÒA XÃ HỘI CHỦ NGHĨA VIỆT NAM</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